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3.png" ContentType="image/png"/>
  <Override PartName="/word/media/image1.jpeg" ContentType="image/jpeg"/>
  <Override PartName="/word/media/image4.jpeg" ContentType="image/jpeg"/>
  <Override PartName="/word/media/image2.png" ContentType="image/png"/>
  <Override PartName="/word/media/image5.jpeg" ContentType="image/jpeg"/>
  <Override PartName="/word/media/image8.jpeg" ContentType="image/jpeg"/>
  <Override PartName="/word/media/image6.png" ContentType="image/png"/>
  <Override PartName="/word/media/image7.wmf" ContentType="image/x-wmf"/>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240" w:after="240"/>
        <w:jc w:val="center"/>
        <w:rPr>
          <w:rFonts w:ascii="Times New Roman" w:hAnsi="Times New Roman"/>
          <w:b/>
          <w:b/>
          <w:bCs/>
          <w:szCs w:val="24"/>
          <w:lang w:val="pt-PT"/>
        </w:rPr>
      </w:pPr>
      <w:bookmarkStart w:id="0" w:name="__DdeLink__1010_658099637"/>
      <w:bookmarkEnd w:id="0"/>
      <w:r>
        <w:rPr>
          <w:rFonts w:ascii="Times New Roman" w:hAnsi="Times New Roman"/>
          <w:b/>
          <w:bCs/>
          <w:szCs w:val="24"/>
          <w:lang w:val="pt-PT"/>
        </w:rPr>
        <w:t>Análise da paisagem para interpretação do contexto ambiental da área do Sítio Arqueológico Piracanjuba, Piraju-SP</w:t>
      </w:r>
    </w:p>
    <w:p>
      <w:pPr>
        <w:pStyle w:val="Normal"/>
        <w:spacing w:before="240" w:after="240"/>
        <w:jc w:val="center"/>
        <w:rPr/>
      </w:pPr>
      <w:r>
        <w:rPr>
          <w:rFonts w:ascii="Times New Roman" w:hAnsi="Times New Roman"/>
          <w:sz w:val="20"/>
          <w:lang w:val="pt-PT"/>
        </w:rPr>
        <w:t>L</w:t>
      </w:r>
      <w:r>
        <w:rPr>
          <w:rFonts w:ascii="Times New Roman" w:hAnsi="Times New Roman"/>
          <w:sz w:val="20"/>
          <w:lang w:val="pt-PT"/>
        </w:rPr>
        <w:t xml:space="preserve">arissa Figueiredo </w:t>
      </w:r>
      <w:r>
        <w:rPr>
          <w:rFonts w:ascii="Times New Roman" w:hAnsi="Times New Roman"/>
          <w:sz w:val="20"/>
          <w:lang w:val="pt-PT"/>
        </w:rPr>
        <w:t>Daves</w:t>
      </w:r>
      <w:r>
        <w:rPr>
          <w:rFonts w:ascii="Times New Roman" w:hAnsi="Times New Roman"/>
          <w:sz w:val="20"/>
          <w:vertAlign w:val="superscript"/>
          <w:lang w:val="pt-PT"/>
        </w:rPr>
        <w:t>(a)</w:t>
      </w:r>
      <w:r>
        <w:rPr>
          <w:rFonts w:ascii="Times New Roman" w:hAnsi="Times New Roman"/>
          <w:sz w:val="20"/>
          <w:lang w:val="pt-PT"/>
        </w:rPr>
        <w:t>, N</w:t>
      </w:r>
      <w:r>
        <w:rPr>
          <w:rFonts w:ascii="Times New Roman" w:hAnsi="Times New Roman"/>
          <w:sz w:val="20"/>
          <w:lang w:val="pt-PT"/>
        </w:rPr>
        <w:t>eide Barrocá Faccio</w:t>
      </w:r>
      <w:r>
        <w:rPr>
          <w:rFonts w:ascii="Times New Roman" w:hAnsi="Times New Roman"/>
          <w:sz w:val="20"/>
          <w:vertAlign w:val="superscript"/>
          <w:lang w:val="pt-PT"/>
        </w:rPr>
        <w:t>(b</w:t>
      </w:r>
      <w:r>
        <w:rPr>
          <w:rFonts w:ascii="Times New Roman" w:hAnsi="Times New Roman"/>
          <w:szCs w:val="24"/>
          <w:vertAlign w:val="superscript"/>
          <w:lang w:val="pt-PT"/>
        </w:rPr>
        <w:t>)</w:t>
      </w:r>
    </w:p>
    <w:p>
      <w:pPr>
        <w:pStyle w:val="Normal"/>
        <w:rPr>
          <w:rFonts w:ascii="Times New Roman" w:hAnsi="Times New Roman"/>
          <w:sz w:val="20"/>
          <w:lang w:val="pt-PT"/>
        </w:rPr>
      </w:pPr>
      <w:r>
        <w:rPr>
          <w:rFonts w:ascii="Times New Roman" w:hAnsi="Times New Roman"/>
          <w:sz w:val="20"/>
          <w:lang w:val="pt-PT"/>
        </w:rPr>
      </w:r>
    </w:p>
    <w:p>
      <w:pPr>
        <w:pStyle w:val="Normal"/>
        <w:jc w:val="both"/>
        <w:rPr>
          <w:rFonts w:ascii="Times New Roman" w:hAnsi="Times New Roman"/>
          <w:sz w:val="20"/>
          <w:lang w:val="pt-PT"/>
        </w:rPr>
      </w:pPr>
      <w:r>
        <w:rPr>
          <w:rFonts w:ascii="Times New Roman" w:hAnsi="Times New Roman"/>
          <w:sz w:val="20"/>
          <w:lang w:val="pt-PT"/>
        </w:rPr>
        <w:t>(a) Geógrafa e mestranda do curso de Pós-graduação em Geografia da Universidade Estadual Paulista – Campus de Presidente Prudente, larissadaves_@hotmail.com.br</w:t>
      </w:r>
    </w:p>
    <w:p>
      <w:pPr>
        <w:pStyle w:val="Normal"/>
        <w:jc w:val="both"/>
        <w:rPr>
          <w:rFonts w:ascii="Times New Roman" w:hAnsi="Times New Roman"/>
          <w:sz w:val="20"/>
          <w:lang w:val="pt-PT"/>
        </w:rPr>
      </w:pPr>
      <w:r>
        <w:rPr>
          <w:rFonts w:ascii="Times New Roman" w:hAnsi="Times New Roman"/>
          <w:sz w:val="20"/>
          <w:lang w:val="pt-PT"/>
        </w:rPr>
        <w:t>(b</w:t>
      </w:r>
      <w:r>
        <w:rPr>
          <w:rFonts w:ascii="Times New Roman" w:hAnsi="Times New Roman"/>
          <w:sz w:val="20"/>
          <w:vertAlign w:val="superscript"/>
          <w:lang w:val="pt-PT"/>
        </w:rPr>
        <w:t>)</w:t>
      </w:r>
      <w:r>
        <w:rPr>
          <w:rFonts w:ascii="Times New Roman" w:hAnsi="Times New Roman"/>
          <w:sz w:val="20"/>
          <w:lang w:val="pt-PT"/>
        </w:rPr>
        <w:t xml:space="preserve"> Livre Docente, Arqueóloga e Docente da Universidade Estadual Paulista – Campus de Presidente Prudente, nfaccio@terra.com.br </w:t>
      </w:r>
    </w:p>
    <w:p>
      <w:pPr>
        <w:pStyle w:val="Normal"/>
        <w:spacing w:before="360" w:after="0"/>
        <w:jc w:val="center"/>
        <w:rPr>
          <w:rFonts w:ascii="Times New Roman" w:hAnsi="Times New Roman" w:eastAsia="Times New Roman"/>
          <w:b/>
          <w:b/>
          <w:sz w:val="20"/>
          <w:lang w:val="pt-PT" w:eastAsia="pt-PT"/>
        </w:rPr>
      </w:pPr>
      <w:r>
        <w:rPr>
          <w:rFonts w:eastAsia="Times New Roman" w:ascii="Times New Roman" w:hAnsi="Times New Roman"/>
          <w:b/>
          <w:sz w:val="20"/>
          <w:lang w:val="pt-PT" w:eastAsia="pt-PT"/>
        </w:rPr>
        <w:t>Eixo: Geodiversidade, Geoarqueologia e Patrimônio Natural</w:t>
      </w:r>
    </w:p>
    <w:p>
      <w:pPr>
        <w:pStyle w:val="Normal"/>
        <w:rPr>
          <w:rFonts w:ascii="Times New Roman" w:hAnsi="Times New Roman" w:eastAsia="Times New Roman"/>
          <w:b/>
          <w:b/>
          <w:color w:val="002060"/>
          <w:szCs w:val="24"/>
          <w:lang w:val="pt-PT" w:eastAsia="pt-PT"/>
        </w:rPr>
      </w:pPr>
      <w:r>
        <w:rPr>
          <w:rFonts w:eastAsia="Times New Roman" w:ascii="Times New Roman" w:hAnsi="Times New Roman"/>
          <w:b/>
          <w:color w:val="002060"/>
          <w:szCs w:val="24"/>
          <w:lang w:val="pt-PT" w:eastAsia="pt-PT"/>
        </w:rPr>
      </w:r>
    </w:p>
    <w:p>
      <w:pPr>
        <w:pStyle w:val="Normal"/>
        <w:ind w:left="567" w:right="618" w:hanging="0"/>
        <w:jc w:val="both"/>
        <w:rPr>
          <w:rFonts w:ascii="Times New Roman" w:hAnsi="Times New Roman"/>
          <w:sz w:val="20"/>
          <w:lang w:val="pt-BR"/>
        </w:rPr>
      </w:pPr>
      <w:r>
        <w:rPr>
          <w:rFonts w:eastAsia="Times New Roman" w:ascii="Times New Roman" w:hAnsi="Times New Roman"/>
          <w:sz w:val="20"/>
          <w:lang w:val="pt-PT" w:eastAsia="pt-PT"/>
        </w:rPr>
        <w:t xml:space="preserve">Este artigo apresenta as contribuições da Geoarqueologia no estudo da paisagem em sítios arqueologicos. Neste caso, temos como discussão o padrão de assentamento do Sítio Arqueológico Piracanjuba. </w:t>
      </w:r>
      <w:r>
        <w:rPr>
          <w:rFonts w:ascii="Times New Roman" w:hAnsi="Times New Roman"/>
          <w:sz w:val="20"/>
          <w:lang w:val="pt-BR"/>
        </w:rPr>
        <w:t>Trata-se de um sítio lito-cerâmico de T</w:t>
      </w:r>
      <w:bookmarkStart w:id="1" w:name="_GoBack"/>
      <w:bookmarkEnd w:id="1"/>
      <w:r>
        <w:rPr>
          <w:rFonts w:ascii="Times New Roman" w:hAnsi="Times New Roman"/>
          <w:sz w:val="20"/>
          <w:lang w:val="pt-BR"/>
        </w:rPr>
        <w:t xml:space="preserve">radição Tupiguarani, </w:t>
      </w:r>
      <w:r>
        <w:rPr>
          <w:rFonts w:eastAsia="Times New Roman" w:ascii="Times New Roman" w:hAnsi="Times New Roman"/>
          <w:sz w:val="20"/>
          <w:lang w:val="pt-PT" w:eastAsia="pt-PT"/>
        </w:rPr>
        <w:t xml:space="preserve">localizado no Municipio de Piraju-SP, a jusante do Rio Paranapanema. Esse sítio foi encontrado no ano de 1990, durante a realização do projeto de Salvamento Arqueológico da Usina Hidrelétrica Piraju – ArqPiraju. </w:t>
      </w:r>
      <w:r>
        <w:rPr>
          <w:rFonts w:ascii="Times New Roman" w:hAnsi="Times New Roman"/>
          <w:sz w:val="20"/>
          <w:lang w:val="pt-BR"/>
        </w:rPr>
        <w:t>Neste contexto, a área do sítio foi analisada a partir da presença das manchas pretas de solo antropogênico</w:t>
      </w:r>
      <w:r>
        <w:rPr>
          <w:rFonts w:ascii="Times New Roman" w:hAnsi="Times New Roman"/>
          <w:iCs/>
          <w:sz w:val="20"/>
          <w:lang w:val="pt-BR"/>
        </w:rPr>
        <w:t xml:space="preserve">. Utilizamos os pressupostos das Ciências da Terra, particularmente Geomorfologia e Geologia, para interpretação da </w:t>
      </w:r>
      <w:r>
        <w:rPr>
          <w:rFonts w:ascii="Times New Roman" w:hAnsi="Times New Roman"/>
          <w:sz w:val="20"/>
          <w:lang w:val="pt-BR"/>
        </w:rPr>
        <w:t>morfologia do relevo e da distribuição dos vestígios arqueológicos, a fim de investigar o padrão de assentamento guarani na área do sítio em tela.</w:t>
      </w:r>
    </w:p>
    <w:p>
      <w:pPr>
        <w:pStyle w:val="Normal"/>
        <w:ind w:left="567" w:right="618" w:hanging="0"/>
        <w:jc w:val="both"/>
        <w:rPr>
          <w:rFonts w:ascii="Times New Roman" w:hAnsi="Times New Roman" w:eastAsia="Times New Roman"/>
          <w:sz w:val="20"/>
          <w:lang w:val="pt-PT" w:eastAsia="pt-PT"/>
        </w:rPr>
      </w:pPr>
      <w:r>
        <w:rPr>
          <w:rFonts w:eastAsia="Times New Roman" w:ascii="Times New Roman" w:hAnsi="Times New Roman"/>
          <w:sz w:val="20"/>
          <w:lang w:val="pt-PT" w:eastAsia="pt-PT"/>
        </w:rPr>
      </w:r>
    </w:p>
    <w:p>
      <w:pPr>
        <w:pStyle w:val="Normal"/>
        <w:tabs>
          <w:tab w:val="left" w:pos="8505" w:leader="none"/>
        </w:tabs>
        <w:ind w:left="567" w:right="618" w:hanging="0"/>
        <w:jc w:val="both"/>
        <w:rPr>
          <w:rFonts w:ascii="Times New Roman" w:hAnsi="Times New Roman"/>
          <w:sz w:val="20"/>
          <w:lang w:val="pt-PT"/>
        </w:rPr>
      </w:pPr>
      <w:r>
        <w:rPr>
          <w:rFonts w:ascii="Times New Roman" w:hAnsi="Times New Roman"/>
          <w:b/>
          <w:sz w:val="20"/>
          <w:lang w:val="pt-PT"/>
        </w:rPr>
        <w:t xml:space="preserve">Palavras-chave: </w:t>
      </w:r>
      <w:r>
        <w:rPr>
          <w:rFonts w:ascii="Times New Roman" w:hAnsi="Times New Roman"/>
          <w:sz w:val="20"/>
          <w:lang w:val="pt-PT"/>
        </w:rPr>
        <w:t>Geoarqueologia, Análise da Paisagem, Solo antropogênico, Cerâmica Guarani.</w:t>
      </w:r>
    </w:p>
    <w:p>
      <w:pPr>
        <w:pStyle w:val="Normal"/>
        <w:tabs>
          <w:tab w:val="left" w:pos="284" w:leader="none"/>
          <w:tab w:val="left" w:pos="8505" w:leader="none"/>
        </w:tabs>
        <w:spacing w:lineRule="auto" w:line="360"/>
        <w:ind w:right="618" w:hanging="0"/>
        <w:rPr>
          <w:rFonts w:ascii="Times New Roman" w:hAnsi="Times New Roman"/>
          <w:b/>
          <w:b/>
          <w:color w:val="002060"/>
          <w:sz w:val="22"/>
          <w:szCs w:val="22"/>
          <w:lang w:val="pt-PT"/>
        </w:rPr>
      </w:pPr>
      <w:r>
        <w:rPr>
          <w:rFonts w:ascii="Times New Roman" w:hAnsi="Times New Roman"/>
          <w:b/>
          <w:color w:val="002060"/>
          <w:sz w:val="22"/>
          <w:szCs w:val="22"/>
          <w:lang w:val="pt-PT"/>
        </w:rPr>
      </w:r>
    </w:p>
    <w:p>
      <w:pPr>
        <w:pStyle w:val="Normal"/>
        <w:tabs>
          <w:tab w:val="left" w:pos="284" w:leader="none"/>
          <w:tab w:val="left" w:pos="8505" w:leader="none"/>
        </w:tabs>
        <w:spacing w:lineRule="auto" w:line="360"/>
        <w:ind w:right="618" w:hanging="0"/>
        <w:rPr>
          <w:rFonts w:ascii="Times New Roman" w:hAnsi="Times New Roman"/>
          <w:b/>
          <w:b/>
          <w:sz w:val="22"/>
          <w:szCs w:val="22"/>
          <w:lang w:val="pt-PT"/>
        </w:rPr>
      </w:pPr>
      <w:r>
        <w:rPr>
          <w:rFonts w:ascii="Times New Roman" w:hAnsi="Times New Roman"/>
          <w:b/>
          <w:sz w:val="22"/>
          <w:szCs w:val="22"/>
          <w:lang w:val="pt-PT"/>
        </w:rPr>
        <w:t xml:space="preserve">1 Introdução </w:t>
      </w:r>
    </w:p>
    <w:p>
      <w:pPr>
        <w:pStyle w:val="Normal"/>
        <w:spacing w:lineRule="auto" w:line="276"/>
        <w:jc w:val="both"/>
        <w:rPr>
          <w:b/>
          <w:b/>
          <w:sz w:val="22"/>
          <w:szCs w:val="22"/>
          <w:lang w:val="pt-PT"/>
        </w:rPr>
      </w:pPr>
      <w:r>
        <w:rPr>
          <w:b/>
          <w:sz w:val="22"/>
          <w:szCs w:val="22"/>
          <w:lang w:val="pt-PT"/>
        </w:rPr>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Desde sua institucionalização como ciência, a Geografia busca – enquanto eixo epistemológico central – a relação sociedade e natureza (SUERTEGARAY, 2009; CASSETI, 2009). Nesse âmbito, a paisagem tem-se mostrado uma categoria essencial ao debate relacional dessas duas categorias (PASSOS, 2003; 2006).</w:t>
      </w:r>
    </w:p>
    <w:p>
      <w:pPr>
        <w:pStyle w:val="Normal"/>
        <w:ind w:left="2832" w:hanging="0"/>
        <w:jc w:val="both"/>
        <w:rPr>
          <w:rFonts w:ascii="Times New Roman" w:hAnsi="Times New Roman"/>
          <w:color w:val="002060"/>
          <w:szCs w:val="24"/>
          <w:lang w:val="pt-BR"/>
        </w:rPr>
      </w:pPr>
      <w:r>
        <w:rPr>
          <w:rFonts w:ascii="Times New Roman" w:hAnsi="Times New Roman"/>
          <w:color w:val="002060"/>
          <w:szCs w:val="24"/>
          <w:lang w:val="pt-BR"/>
        </w:rPr>
      </w:r>
    </w:p>
    <w:p>
      <w:pPr>
        <w:pStyle w:val="Normal"/>
        <w:ind w:left="2832" w:hanging="0"/>
        <w:jc w:val="both"/>
        <w:rPr>
          <w:rFonts w:ascii="Times New Roman" w:hAnsi="Times New Roman"/>
          <w:sz w:val="20"/>
          <w:lang w:val="pt-BR"/>
        </w:rPr>
      </w:pPr>
      <w:r>
        <w:rPr>
          <w:rFonts w:ascii="Times New Roman" w:hAnsi="Times New Roman"/>
          <w:sz w:val="20"/>
          <w:lang w:val="pt-BR"/>
        </w:rPr>
        <w:t>A paisagem se inscreve no espaço real e corresponde a uma estrutura ecológica bem determinada: mas ela só é “apreendida” e qualificada enquanto tal a partir de um mecanismo social de identificação e de utilização. A paisagem aparece cada vez menos como uma estrutura ecológica e social e cada vez mais como um processo de transformação, logo, como um fenômeno inscrito na história. Ela é uma interpretação social da natureza. E o método consiste, pelo menos em um primeiro tempo, em ir da sociedade para a natureza. (BERTRAND; BERTRAND, 2009, p. 221).</w:t>
      </w:r>
    </w:p>
    <w:p>
      <w:pPr>
        <w:pStyle w:val="Normal"/>
        <w:jc w:val="both"/>
        <w:rPr>
          <w:rFonts w:ascii="Times New Roman" w:hAnsi="Times New Roman"/>
          <w:color w:val="002060"/>
          <w:szCs w:val="24"/>
          <w:lang w:val="pt-BR"/>
        </w:rPr>
      </w:pPr>
      <w:r>
        <w:rPr>
          <w:rFonts w:ascii="Times New Roman" w:hAnsi="Times New Roman"/>
          <w:color w:val="002060"/>
          <w:szCs w:val="24"/>
          <w:lang w:val="pt-BR"/>
        </w:rPr>
      </w:r>
    </w:p>
    <w:p>
      <w:pPr>
        <w:pStyle w:val="Normal"/>
        <w:ind w:left="2124" w:hanging="0"/>
        <w:jc w:val="both"/>
        <w:rPr>
          <w:rFonts w:ascii="Times New Roman" w:hAnsi="Times New Roman"/>
          <w:color w:val="002060"/>
          <w:szCs w:val="24"/>
          <w:lang w:val="pt-BR"/>
        </w:rPr>
      </w:pPr>
      <w:r>
        <w:rPr>
          <w:rFonts w:ascii="Times New Roman" w:hAnsi="Times New Roman"/>
          <w:color w:val="002060"/>
          <w:szCs w:val="24"/>
          <w:lang w:val="pt-BR"/>
        </w:rPr>
      </w:r>
    </w:p>
    <w:p>
      <w:pPr>
        <w:pStyle w:val="Normal"/>
        <w:spacing w:lineRule="auto" w:line="360"/>
        <w:ind w:firstLine="720"/>
        <w:jc w:val="both"/>
        <w:rPr>
          <w:rFonts w:ascii="Times New Roman" w:hAnsi="Times New Roman"/>
          <w:sz w:val="22"/>
          <w:szCs w:val="22"/>
          <w:lang w:val="pt-BR"/>
        </w:rPr>
      </w:pPr>
      <w:r>
        <w:rPr>
          <w:rFonts w:ascii="Times New Roman" w:hAnsi="Times New Roman"/>
          <w:sz w:val="22"/>
          <w:szCs w:val="22"/>
          <w:lang w:val="pt-BR"/>
        </w:rPr>
        <w:t>Desse modo, “analisar uma paisagem é, pois, aprender o real em diversas escalas” (CLAVAL, 2014, p. 65), caracterizando-a como realidade múltipla e analisando-a em diversas perspectivas, pois a paisagem é multidimensional e multiescalar, podendo sua dimensão ser funcional, simbólica, econômica, social e geoambiental. No caso de suas diversas escalas de análise, temos a espacial, temporal, local e comportamental. Assim, a análise da paisagem permite discutir o processo, os elementos geográficos e a forma como a sociedade, nesse caso o grupo Guarani, interferiu no ambiente onde viveu.</w:t>
      </w:r>
    </w:p>
    <w:p>
      <w:pPr>
        <w:pStyle w:val="Normal"/>
        <w:spacing w:lineRule="auto" w:line="360"/>
        <w:ind w:firstLine="709"/>
        <w:jc w:val="both"/>
        <w:rPr>
          <w:rFonts w:ascii="Times New Roman" w:hAnsi="Times New Roman" w:eastAsia="Times New Roman"/>
          <w:sz w:val="22"/>
          <w:szCs w:val="22"/>
          <w:lang w:val="pt-PT"/>
        </w:rPr>
      </w:pPr>
      <w:r>
        <w:rPr>
          <w:rFonts w:ascii="Times New Roman" w:hAnsi="Times New Roman"/>
          <w:sz w:val="22"/>
          <w:szCs w:val="22"/>
          <w:lang w:val="pt-BR"/>
        </w:rPr>
        <w:t xml:space="preserve">A paisagem nesse sentido é entendida como a criação da ação humana em conjunção de </w:t>
      </w:r>
      <w:r>
        <w:rPr>
          <w:rFonts w:eastAsia="Times New Roman" w:cs="Courier New" w:ascii="inherit" w:hAnsi="inherit"/>
          <w:sz w:val="22"/>
          <w:szCs w:val="22"/>
          <w:lang w:val="pt-PT"/>
        </w:rPr>
        <w:t xml:space="preserve">um ambiente social </w:t>
      </w:r>
      <w:r>
        <w:rPr>
          <w:rFonts w:eastAsia="Times New Roman" w:ascii="Times New Roman" w:hAnsi="Times New Roman"/>
          <w:sz w:val="22"/>
          <w:szCs w:val="22"/>
          <w:lang w:val="pt-PT"/>
        </w:rPr>
        <w:t>(como um meio), a sociedade (como uso do meio) e cultura (como a concepção sobre o meio). Assim, entendemos a Arqueologia como estudo da cultura material dentro de contextos socioculturais socioculurais documentados arqueologicamente (BOADO, et al. , 1989).</w:t>
      </w:r>
    </w:p>
    <w:p>
      <w:pPr>
        <w:pStyle w:val="Normal"/>
        <w:spacing w:lineRule="auto" w:line="360"/>
        <w:ind w:firstLine="709"/>
        <w:jc w:val="both"/>
        <w:rPr>
          <w:sz w:val="22"/>
          <w:szCs w:val="22"/>
          <w:lang w:val="pt-BR"/>
        </w:rPr>
      </w:pPr>
      <w:r>
        <w:rPr>
          <w:sz w:val="22"/>
          <w:szCs w:val="22"/>
          <w:lang w:val="pt-PT"/>
        </w:rPr>
        <w:t xml:space="preserve">Desse modo, </w:t>
      </w:r>
      <w:r>
        <w:rPr>
          <w:sz w:val="22"/>
          <w:szCs w:val="22"/>
          <w:lang w:val="pt-BR"/>
        </w:rPr>
        <w:t>apresenta-se a análise da morfologia do relevo da área do Sítio Arqueológico Piracanjuba, a partir da descrição da paisagem, com base na metodologia da Geoarqueologia. O objetivo é o de mostrar a relação existente entre a localização do sítio arqueológico, a distribuição dos vestígios arqueológicos e o padrão de assentamento guarani na área do Sistema de ocupação indígena da área do Médio Paranapanema, lado paulista.</w:t>
      </w:r>
    </w:p>
    <w:p>
      <w:pPr>
        <w:pStyle w:val="Normal"/>
        <w:spacing w:lineRule="auto" w:line="360"/>
        <w:jc w:val="both"/>
        <w:rPr>
          <w:sz w:val="22"/>
          <w:szCs w:val="22"/>
          <w:lang w:val="pt-BR"/>
        </w:rPr>
      </w:pPr>
      <w:r>
        <w:rPr>
          <w:sz w:val="22"/>
          <w:szCs w:val="22"/>
          <w:lang w:val="pt-BR"/>
        </w:rPr>
      </w:r>
    </w:p>
    <w:p>
      <w:pPr>
        <w:pStyle w:val="Normal"/>
        <w:spacing w:lineRule="auto" w:line="276"/>
        <w:jc w:val="both"/>
        <w:rPr>
          <w:b/>
          <w:b/>
          <w:sz w:val="22"/>
          <w:szCs w:val="22"/>
          <w:lang w:val="pt-BR"/>
        </w:rPr>
      </w:pPr>
      <w:r>
        <w:rPr>
          <w:b/>
          <w:sz w:val="22"/>
          <w:szCs w:val="22"/>
          <w:lang w:val="pt-BR"/>
        </w:rPr>
        <w:t>1.1</w:t>
      </w:r>
      <w:r>
        <w:rPr>
          <w:sz w:val="22"/>
          <w:szCs w:val="22"/>
          <w:lang w:val="pt-BR"/>
        </w:rPr>
        <w:t xml:space="preserve"> </w:t>
      </w:r>
      <w:r>
        <w:rPr>
          <w:b/>
          <w:sz w:val="22"/>
          <w:szCs w:val="22"/>
          <w:lang w:val="pt-BR"/>
        </w:rPr>
        <w:t xml:space="preserve">Pressupostos teóricos </w:t>
      </w:r>
    </w:p>
    <w:p>
      <w:pPr>
        <w:pStyle w:val="Normal"/>
        <w:spacing w:lineRule="auto" w:line="276"/>
        <w:jc w:val="both"/>
        <w:rPr>
          <w:b/>
          <w:b/>
          <w:sz w:val="22"/>
          <w:szCs w:val="22"/>
          <w:lang w:val="pt-BR"/>
        </w:rPr>
      </w:pPr>
      <w:r>
        <w:rPr>
          <w:b/>
          <w:sz w:val="22"/>
          <w:szCs w:val="22"/>
          <w:lang w:val="pt-BR"/>
        </w:rPr>
      </w:r>
    </w:p>
    <w:p>
      <w:pPr>
        <w:pStyle w:val="Normal"/>
        <w:spacing w:lineRule="auto" w:line="360"/>
        <w:ind w:firstLine="709"/>
        <w:jc w:val="both"/>
        <w:rPr>
          <w:rFonts w:ascii="Times New Roman" w:hAnsi="Times New Roman"/>
          <w:sz w:val="22"/>
          <w:szCs w:val="22"/>
          <w:lang w:val="pt-BR"/>
        </w:rPr>
      </w:pPr>
      <w:r>
        <w:rPr>
          <w:rFonts w:ascii="Times New Roman" w:hAnsi="Times New Roman"/>
          <w:sz w:val="22"/>
          <w:szCs w:val="22"/>
          <w:lang w:val="pt-BR"/>
        </w:rPr>
        <w:t xml:space="preserve">A pesquisa arqueológica pode contribuir para a compreensão da formação do espaço e suas transformações pretéritas. Uma relação interdisciplinar entre a Geografia e Arqueologia permite analisar ambientes naturais do passado na sua relação com os grupos indígenas para evidenciar as razões que levavam esses grupos a estabelecerem assentamento em determinada área. </w:t>
      </w:r>
    </w:p>
    <w:p>
      <w:pPr>
        <w:pStyle w:val="Normal"/>
        <w:spacing w:lineRule="auto" w:line="360"/>
        <w:ind w:firstLine="720"/>
        <w:jc w:val="both"/>
        <w:rPr>
          <w:sz w:val="22"/>
          <w:szCs w:val="22"/>
          <w:lang w:val="pt-BR"/>
        </w:rPr>
      </w:pPr>
      <w:r>
        <w:rPr>
          <w:sz w:val="22"/>
          <w:szCs w:val="22"/>
          <w:lang w:val="pt-BR"/>
        </w:rPr>
        <w:t xml:space="preserve">Butzer (1982) aborda que a Geoarqueologia, definida como “arqueologia realizada com a contribuição das Ciências da Terra”, se articula de maneira interdisciplinar com outras ciências principalmente na interpretação dos contextos arqueológicos. Desde então, essa definição tem-se ampliado com informações críticas e empíricas em abordagens conceituais para analisar a paisagem habitada pelo homem em tempos pretéritos. </w:t>
      </w:r>
    </w:p>
    <w:p>
      <w:pPr>
        <w:pStyle w:val="Normal"/>
        <w:spacing w:lineRule="auto" w:line="360"/>
        <w:ind w:firstLine="720"/>
        <w:jc w:val="both"/>
        <w:rPr>
          <w:rFonts w:ascii="Times New Roman" w:hAnsi="Times New Roman"/>
          <w:sz w:val="22"/>
          <w:szCs w:val="22"/>
          <w:lang w:val="pt-BR" w:eastAsia="pt-BR"/>
        </w:rPr>
      </w:pPr>
      <w:r>
        <w:rPr>
          <w:sz w:val="22"/>
          <w:szCs w:val="22"/>
          <w:lang w:val="pt-BR"/>
        </w:rPr>
        <w:t xml:space="preserve">Trigger (2004) afirma que </w:t>
      </w:r>
      <w:r>
        <w:rPr>
          <w:rFonts w:ascii="Times New Roman" w:hAnsi="Times New Roman"/>
          <w:sz w:val="22"/>
          <w:szCs w:val="22"/>
          <w:lang w:val="pt-BR" w:eastAsia="pt-BR"/>
        </w:rPr>
        <w:t xml:space="preserve">o uso de informações das geociências, como contributivas na construção da prática arqueológica, está na gênese da própria Arqueologia, enquanto área de conhecimento sistemática. </w:t>
      </w:r>
    </w:p>
    <w:p>
      <w:pPr>
        <w:pStyle w:val="Normal"/>
        <w:ind w:left="2880" w:hanging="0"/>
        <w:jc w:val="both"/>
        <w:rPr>
          <w:rFonts w:ascii="Times New Roman" w:hAnsi="Times New Roman"/>
          <w:sz w:val="20"/>
          <w:lang w:val="pt-BR"/>
        </w:rPr>
      </w:pPr>
      <w:r>
        <w:rPr>
          <w:rFonts w:ascii="Times New Roman" w:hAnsi="Times New Roman"/>
          <w:sz w:val="20"/>
          <w:lang w:val="pt-BR"/>
        </w:rPr>
        <w:t>As ligações entre a Arqueologia e as chamadas disciplinas da paisagem parecem bastante concretas. De fato, o homem pré-histórico inseriu-se em contextos bastante complexos, “palcos” onde ele desempenhou papéis variados. Genericamente, os palcos identificam-se com o meio ambiente. Considerando-se as esferas geográficas que se entrelaçam e se complementam (atmosfera, litosfera, hidrosfera e biosfera), o homem pré-histórico, como participantes delas, não pode ser estudado fora do seu conjunto. (MORAIS, 1986, p. 64).</w:t>
      </w:r>
    </w:p>
    <w:p>
      <w:pPr>
        <w:pStyle w:val="Normal"/>
        <w:spacing w:lineRule="auto" w:line="360"/>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spacing w:lineRule="auto" w:line="360"/>
        <w:jc w:val="both"/>
        <w:rPr>
          <w:rFonts w:ascii="Times New Roman" w:hAnsi="Times New Roman"/>
          <w:sz w:val="22"/>
          <w:szCs w:val="22"/>
          <w:lang w:val="pt-BR"/>
        </w:rPr>
      </w:pPr>
      <w:r>
        <w:rPr>
          <w:rFonts w:ascii="Times New Roman" w:hAnsi="Times New Roman"/>
          <w:szCs w:val="24"/>
          <w:lang w:val="pt-BR" w:eastAsia="pt-BR"/>
        </w:rPr>
        <w:tab/>
      </w:r>
      <w:r>
        <w:rPr>
          <w:rFonts w:ascii="Times New Roman" w:hAnsi="Times New Roman"/>
          <w:sz w:val="22"/>
          <w:szCs w:val="22"/>
          <w:lang w:val="pt-BR" w:eastAsia="pt-BR"/>
        </w:rPr>
        <w:t xml:space="preserve">O uso do termo “Ciências da Terra” (ou Geociências) em lugar de Geologia (ou Ciências Geológicas) “não é arbitrariedade semântica, mas relaciona-se com o leque de disciplinas que as primeiras abarcam e que, na tradição universitária europeia, não estão incluídas nas Ciências Geológicas, como a Pedologia, a Geografia Física ou a Climatologia.” (WATERS, </w:t>
      </w:r>
      <w:r>
        <w:rPr>
          <w:lang w:val="pt-BR"/>
        </w:rPr>
        <w:t xml:space="preserve">1992, p. 3). </w:t>
      </w:r>
      <w:r>
        <w:rPr>
          <w:rFonts w:ascii="Times New Roman" w:hAnsi="Times New Roman"/>
          <w:sz w:val="22"/>
          <w:szCs w:val="22"/>
          <w:lang w:val="pt-BR" w:eastAsia="pt-BR"/>
        </w:rPr>
        <w:t xml:space="preserve"> Assim, o geoarqueólogo utiliza-se desse apetrecho metodológico quanto de outras disciplinas no âmbito geológico (Sedimentologia, Estratigrafia, Petrologia). (ANGELUCCI, 2003).</w:t>
      </w:r>
    </w:p>
    <w:p>
      <w:pPr>
        <w:pStyle w:val="Normal"/>
        <w:spacing w:lineRule="auto" w:line="360"/>
        <w:jc w:val="both"/>
        <w:rPr>
          <w:rFonts w:ascii="Times New Roman" w:hAnsi="Times New Roman"/>
          <w:sz w:val="22"/>
          <w:szCs w:val="22"/>
          <w:lang w:val="pt-BR"/>
        </w:rPr>
      </w:pPr>
      <w:r>
        <w:rPr>
          <w:rFonts w:ascii="Times New Roman" w:hAnsi="Times New Roman"/>
          <w:sz w:val="22"/>
          <w:szCs w:val="22"/>
          <w:lang w:val="pt-BR"/>
        </w:rPr>
        <w:tab/>
        <w:t xml:space="preserve">A </w:t>
      </w:r>
      <w:r>
        <w:rPr>
          <w:rFonts w:eastAsia="Times New Roman" w:ascii="Times New Roman" w:hAnsi="Times New Roman"/>
          <w:color w:val="212121"/>
          <w:sz w:val="22"/>
          <w:szCs w:val="22"/>
          <w:lang w:val="pt-PT" w:eastAsia="pt-BR"/>
        </w:rPr>
        <w:t xml:space="preserve">geoarqueologia utiliza técnicas e abordagens da geomorfologia (estudo da origem e morfologia da forma de relevo), sedimentologia (estudo das características e formação de depósitos), pedologia (estudo da formação e morfologia do solo), estratigrafia (estudo da sequência e correlação de sedimentos e solos) e a geocronologia (o estudo do tempo em uma sequência estratigráfica) para investigar e interpretar os sedimentos, solos e formas de relevo em sítios arqueológicos. </w:t>
      </w:r>
      <w:r>
        <w:rPr>
          <w:rFonts w:ascii="Times New Roman" w:hAnsi="Times New Roman"/>
          <w:sz w:val="22"/>
          <w:szCs w:val="22"/>
          <w:lang w:val="pt-BR"/>
        </w:rPr>
        <w:t>Desse modo, cada ciência fornece um componente essencial para o estudo dos sistemas ambientais, sendo fundamental a interdisciplinaridade em pesquisas arqueológicas. (WATERS, 1992).</w:t>
      </w:r>
    </w:p>
    <w:p>
      <w:pPr>
        <w:pStyle w:val="Normal"/>
        <w:spacing w:lineRule="auto" w:line="360"/>
        <w:ind w:firstLine="720"/>
        <w:jc w:val="both"/>
        <w:rPr>
          <w:rFonts w:ascii="Times New Roman" w:hAnsi="Times New Roman"/>
          <w:sz w:val="22"/>
          <w:szCs w:val="22"/>
          <w:lang w:val="pt-BR"/>
        </w:rPr>
      </w:pPr>
      <w:r>
        <w:rPr>
          <w:rFonts w:ascii="Times New Roman" w:hAnsi="Times New Roman"/>
          <w:sz w:val="22"/>
          <w:szCs w:val="22"/>
          <w:lang w:val="pt-BR" w:eastAsia="pt-BR"/>
        </w:rPr>
        <w:t>A Geomorfologia tem contribuído para um maior relacionamento com diferentes campos do conhecimento científico especialmente relacionados</w:t>
      </w:r>
      <w:r>
        <w:rPr>
          <w:rFonts w:ascii="Times New Roman" w:hAnsi="Times New Roman"/>
          <w:color w:val="FF0000"/>
          <w:sz w:val="22"/>
          <w:szCs w:val="22"/>
          <w:lang w:val="pt-BR" w:eastAsia="pt-BR"/>
        </w:rPr>
        <w:t xml:space="preserve"> </w:t>
      </w:r>
      <w:r>
        <w:rPr>
          <w:rFonts w:ascii="Times New Roman" w:hAnsi="Times New Roman"/>
          <w:sz w:val="22"/>
          <w:szCs w:val="22"/>
          <w:lang w:val="pt-BR" w:eastAsia="pt-BR"/>
        </w:rPr>
        <w:t>às</w:t>
      </w:r>
      <w:r>
        <w:rPr>
          <w:rFonts w:ascii="Times New Roman" w:hAnsi="Times New Roman"/>
          <w:color w:val="FF0000"/>
          <w:sz w:val="22"/>
          <w:szCs w:val="22"/>
          <w:lang w:val="pt-BR" w:eastAsia="pt-BR"/>
        </w:rPr>
        <w:t xml:space="preserve"> </w:t>
      </w:r>
      <w:r>
        <w:rPr>
          <w:rFonts w:ascii="Times New Roman" w:hAnsi="Times New Roman"/>
          <w:sz w:val="22"/>
          <w:szCs w:val="22"/>
          <w:lang w:val="pt-BR" w:eastAsia="pt-BR"/>
        </w:rPr>
        <w:t xml:space="preserve">diferentes morfologias do relevo. A Arqueologia tem investigado a estrutura superficial da paisagem (AB´SABER, 1969), por meio da morfodinâmica e das relações morfogenéticas, a partir de subsídios de natureza cronológica. Segundo Casseti (1983) a “Geomorfologia, após ter passado por sucessivos estágios evolutivos que responderam por diferentes tendências, tem se estruturado a ponto de estabelecer uma metodologia própria que permite situar em diferentes linhas de pesquisa” (CASSETI, 1983, p. 2). </w:t>
      </w:r>
    </w:p>
    <w:p>
      <w:pPr>
        <w:pStyle w:val="Normal"/>
        <w:ind w:left="2880" w:hanging="0"/>
        <w:jc w:val="both"/>
        <w:rPr>
          <w:rFonts w:ascii="Times New Roman" w:hAnsi="Times New Roman"/>
          <w:color w:val="002060"/>
          <w:sz w:val="22"/>
          <w:szCs w:val="22"/>
          <w:lang w:val="pt-BR" w:eastAsia="pt-BR"/>
        </w:rPr>
      </w:pPr>
      <w:r>
        <w:rPr>
          <w:rFonts w:ascii="Times New Roman" w:hAnsi="Times New Roman"/>
          <w:color w:val="002060"/>
          <w:sz w:val="22"/>
          <w:szCs w:val="22"/>
          <w:lang w:val="pt-BR" w:eastAsia="pt-BR"/>
        </w:rPr>
      </w:r>
    </w:p>
    <w:p>
      <w:pPr>
        <w:pStyle w:val="Normal"/>
        <w:ind w:left="2880" w:hanging="0"/>
        <w:jc w:val="both"/>
        <w:rPr>
          <w:sz w:val="20"/>
          <w:lang w:val="pt-BR"/>
        </w:rPr>
      </w:pPr>
      <w:r>
        <w:rPr>
          <w:rFonts w:ascii="Times New Roman" w:hAnsi="Times New Roman"/>
          <w:sz w:val="20"/>
          <w:lang w:val="pt-BR" w:eastAsia="pt-BR"/>
        </w:rPr>
        <w:t>São fundamentais não apenas à própria geomorfologia, como também a certas ciências, como é o caso da arqueologia, que tem procurado além de justificar a posição geográfica dos sítios, uma melhor interpretação dos processos cronodeposicionais. Deve-se acrescentar que as evidências arqueológicas também se constituem em referenciais de importância à caracterização das estruturas superficiais em geomorfologia. (CASSETI, 1983, p.2)</w:t>
      </w:r>
    </w:p>
    <w:p>
      <w:pPr>
        <w:pStyle w:val="Normal"/>
        <w:ind w:left="2880" w:hanging="0"/>
        <w:jc w:val="both"/>
        <w:rPr>
          <w:sz w:val="20"/>
          <w:lang w:val="pt-BR"/>
        </w:rPr>
      </w:pPr>
      <w:r>
        <w:rPr>
          <w:sz w:val="20"/>
          <w:lang w:val="pt-BR"/>
        </w:rPr>
      </w:r>
    </w:p>
    <w:p>
      <w:pPr>
        <w:pStyle w:val="Normal"/>
        <w:ind w:left="2880" w:hanging="0"/>
        <w:jc w:val="both"/>
        <w:rPr>
          <w:sz w:val="20"/>
          <w:lang w:val="pt-BR"/>
        </w:rPr>
      </w:pPr>
      <w:r>
        <w:rPr>
          <w:sz w:val="20"/>
          <w:lang w:val="pt-BR"/>
        </w:rPr>
      </w:r>
    </w:p>
    <w:p>
      <w:pPr>
        <w:pStyle w:val="Normal"/>
        <w:spacing w:lineRule="auto" w:line="360"/>
        <w:ind w:firstLine="709"/>
        <w:jc w:val="both"/>
        <w:rPr>
          <w:rFonts w:ascii="Times New Roman" w:hAnsi="Times New Roman"/>
          <w:sz w:val="22"/>
          <w:szCs w:val="22"/>
          <w:lang w:val="pt-BR"/>
        </w:rPr>
      </w:pPr>
      <w:r>
        <w:rPr>
          <w:rFonts w:ascii="Times New Roman" w:hAnsi="Times New Roman"/>
          <w:sz w:val="22"/>
          <w:szCs w:val="22"/>
          <w:lang w:val="pt-BR"/>
        </w:rPr>
        <w:t>A</w:t>
      </w:r>
      <w:r>
        <w:rPr>
          <w:rFonts w:ascii="Times New Roman" w:hAnsi="Times New Roman"/>
          <w:color w:val="212121"/>
          <w:sz w:val="22"/>
          <w:szCs w:val="22"/>
          <w:shd w:fill="FFFFFF" w:val="clear"/>
          <w:lang w:val="pt-BR"/>
        </w:rPr>
        <w:t>s questões geoarqueológicas devem surgir a partir de uma consideração de variáveis ​​em sistemas interativos entre sociedade e natureza (HASSAN, 1979). N</w:t>
      </w:r>
      <w:r>
        <w:rPr>
          <w:rFonts w:ascii="Times New Roman" w:hAnsi="Times New Roman"/>
          <w:sz w:val="22"/>
          <w:szCs w:val="22"/>
          <w:lang w:val="pt-BR" w:eastAsia="pt-BR"/>
        </w:rPr>
        <w:t xml:space="preserve">esse contexto, a </w:t>
      </w:r>
      <w:r>
        <w:rPr>
          <w:sz w:val="22"/>
          <w:szCs w:val="22"/>
          <w:lang w:val="pt-BR"/>
        </w:rPr>
        <w:t xml:space="preserve">Geomorfologia, ao estudar os processos intervenientes no modelado do relevo, a análise dos processos contemporâneos e sua distribuição espacial, </w:t>
      </w:r>
      <w:r>
        <w:rPr>
          <w:rFonts w:ascii="Times New Roman" w:hAnsi="Times New Roman"/>
          <w:sz w:val="22"/>
          <w:szCs w:val="22"/>
          <w:lang w:val="pt-BR"/>
        </w:rPr>
        <w:t>proporciona analogias para a associação e compreensão do passado (GLADFELTER, 1977; 1981).  Desse modo, os estudos dos vestígios arqueológicos por meio da aplicação de metodologias com base na Geomorfologia e Geologia são fundamentais para a interpretação do comportamento cultural de determinado grupo humano, uma vez que “o contexto geomorfológico e geológico do artefato completa informações, pois o objeto arqueológico é, de fato, remanescente de padrões de comportamento vividos em contextos ambientais pretéritos” (MORAIS, 1986, p. 66).</w:t>
      </w:r>
    </w:p>
    <w:p>
      <w:pPr>
        <w:pStyle w:val="Normal"/>
        <w:spacing w:lineRule="auto" w:line="276"/>
        <w:jc w:val="both"/>
        <w:rPr>
          <w:rFonts w:ascii="Times New Roman" w:hAnsi="Times New Roman"/>
          <w:b/>
          <w:b/>
          <w:color w:val="002060"/>
          <w:szCs w:val="24"/>
          <w:lang w:val="pt-BR"/>
        </w:rPr>
      </w:pPr>
      <w:r>
        <w:rPr>
          <w:rFonts w:ascii="Times New Roman" w:hAnsi="Times New Roman"/>
          <w:b/>
          <w:color w:val="002060"/>
          <w:szCs w:val="24"/>
          <w:lang w:val="pt-BR"/>
        </w:rPr>
      </w:r>
    </w:p>
    <w:p>
      <w:pPr>
        <w:pStyle w:val="Normal"/>
        <w:numPr>
          <w:ilvl w:val="0"/>
          <w:numId w:val="1"/>
        </w:numPr>
        <w:spacing w:lineRule="auto" w:line="276"/>
        <w:jc w:val="both"/>
        <w:rPr>
          <w:rFonts w:ascii="Times New Roman" w:hAnsi="Times New Roman"/>
          <w:b/>
          <w:b/>
          <w:sz w:val="22"/>
          <w:szCs w:val="22"/>
          <w:lang w:val="pt-BR"/>
        </w:rPr>
      </w:pPr>
      <w:r>
        <w:rPr>
          <w:rFonts w:ascii="Times New Roman" w:hAnsi="Times New Roman"/>
          <w:b/>
          <w:sz w:val="22"/>
          <w:szCs w:val="22"/>
          <w:lang w:val="pt-BR"/>
        </w:rPr>
        <w:t>MATERIAIS E METÓDOS</w:t>
      </w:r>
    </w:p>
    <w:p>
      <w:pPr>
        <w:pStyle w:val="Normal"/>
        <w:spacing w:lineRule="auto" w:line="276"/>
        <w:ind w:left="426" w:hanging="0"/>
        <w:jc w:val="both"/>
        <w:rPr>
          <w:rFonts w:ascii="Times New Roman" w:hAnsi="Times New Roman"/>
          <w:b/>
          <w:b/>
          <w:sz w:val="22"/>
          <w:szCs w:val="22"/>
          <w:lang w:val="pt-BR"/>
        </w:rPr>
      </w:pPr>
      <w:r>
        <w:rPr>
          <w:rFonts w:ascii="Times New Roman" w:hAnsi="Times New Roman"/>
          <w:b/>
          <w:sz w:val="22"/>
          <w:szCs w:val="22"/>
          <w:lang w:val="pt-BR"/>
        </w:rPr>
      </w:r>
    </w:p>
    <w:p>
      <w:pPr>
        <w:pStyle w:val="Normal"/>
        <w:numPr>
          <w:ilvl w:val="1"/>
          <w:numId w:val="2"/>
        </w:numPr>
        <w:spacing w:lineRule="auto" w:line="276"/>
        <w:jc w:val="both"/>
        <w:rPr>
          <w:rFonts w:ascii="Times New Roman" w:hAnsi="Times New Roman"/>
          <w:b/>
          <w:b/>
          <w:sz w:val="22"/>
          <w:szCs w:val="22"/>
          <w:lang w:val="pt-BR"/>
        </w:rPr>
      </w:pPr>
      <w:r>
        <w:rPr>
          <w:rFonts w:ascii="Times New Roman" w:hAnsi="Times New Roman"/>
          <w:b/>
          <w:sz w:val="22"/>
          <w:szCs w:val="22"/>
          <w:lang w:val="pt-BR"/>
        </w:rPr>
        <w:t>Área de estudo</w:t>
      </w:r>
    </w:p>
    <w:p>
      <w:pPr>
        <w:pStyle w:val="Normal"/>
        <w:rPr>
          <w:rFonts w:ascii="Times New Roman" w:hAnsi="Times New Roman"/>
          <w:color w:val="002060"/>
          <w:szCs w:val="24"/>
          <w:lang w:val="pt-BR"/>
        </w:rPr>
      </w:pPr>
      <w:r>
        <w:rPr>
          <w:rFonts w:ascii="Times New Roman" w:hAnsi="Times New Roman"/>
          <w:color w:val="002060"/>
          <w:szCs w:val="24"/>
          <w:lang w:val="pt-BR"/>
        </w:rPr>
      </w:r>
    </w:p>
    <w:p>
      <w:pPr>
        <w:pStyle w:val="Normal"/>
        <w:spacing w:lineRule="auto" w:line="360"/>
        <w:ind w:firstLine="708"/>
        <w:jc w:val="both"/>
        <w:rPr>
          <w:sz w:val="22"/>
          <w:szCs w:val="22"/>
          <w:lang w:val="pt-PT"/>
        </w:rPr>
      </w:pPr>
      <w:r>
        <w:rPr>
          <w:sz w:val="22"/>
          <w:szCs w:val="22"/>
          <w:lang w:val="pt-PT"/>
        </w:rPr>
        <w:t>O Sítio Arqueológico Piracanjuba está localizado a jusante do Rio Paranapanema, no Município de Piraju-SP (</w:t>
      </w:r>
      <w:r>
        <w:rPr>
          <w:b/>
          <w:sz w:val="22"/>
          <w:szCs w:val="22"/>
          <w:lang w:val="pt-PT"/>
        </w:rPr>
        <w:t>Figura 1</w:t>
      </w:r>
      <w:r>
        <w:rPr>
          <w:sz w:val="22"/>
          <w:szCs w:val="22"/>
          <w:lang w:val="pt-PT"/>
        </w:rPr>
        <w:t xml:space="preserve">). </w:t>
      </w:r>
    </w:p>
    <w:p>
      <w:pPr>
        <w:pStyle w:val="Normal"/>
        <w:spacing w:lineRule="auto" w:line="360"/>
        <w:ind w:firstLine="708"/>
        <w:jc w:val="center"/>
        <w:rPr>
          <w:color w:val="002060"/>
          <w:szCs w:val="24"/>
          <w:lang w:val="pt-BR"/>
        </w:rPr>
      </w:pPr>
      <w:r>
        <w:rPr/>
        <w:drawing>
          <wp:inline distT="0" distB="2540" distL="0" distR="4445">
            <wp:extent cx="3634740" cy="1807845"/>
            <wp:effectExtent l="0" t="0" r="0" b="0"/>
            <wp:docPr id="1" name="Imagem 47" descr="Descrição: G:\Mestrado - UNESP\Nova pasta\PROJETO CORRETO\LOCALIZACAO_PIRA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7" descr="Descrição: G:\Mestrado - UNESP\Nova pasta\PROJETO CORRETO\LOCALIZACAO_PIRAJU.jpg"/>
                    <pic:cNvPicPr>
                      <a:picLocks noChangeAspect="1" noChangeArrowheads="1"/>
                    </pic:cNvPicPr>
                  </pic:nvPicPr>
                  <pic:blipFill>
                    <a:blip r:embed="rId2"/>
                    <a:stretch>
                      <a:fillRect/>
                    </a:stretch>
                  </pic:blipFill>
                  <pic:spPr bwMode="auto">
                    <a:xfrm>
                      <a:off x="0" y="0"/>
                      <a:ext cx="3634740" cy="1807845"/>
                    </a:xfrm>
                    <a:prstGeom prst="rect">
                      <a:avLst/>
                    </a:prstGeom>
                  </pic:spPr>
                </pic:pic>
              </a:graphicData>
            </a:graphic>
          </wp:inline>
        </w:drawing>
      </w:r>
    </w:p>
    <w:p>
      <w:pPr>
        <w:pStyle w:val="Normal"/>
        <w:jc w:val="center"/>
        <w:rPr>
          <w:rFonts w:ascii="Times New Roman" w:hAnsi="Times New Roman"/>
          <w:sz w:val="20"/>
          <w:lang w:val="pt-BR"/>
        </w:rPr>
      </w:pPr>
      <w:r>
        <w:rPr>
          <w:rFonts w:ascii="Times New Roman" w:hAnsi="Times New Roman"/>
          <w:b/>
          <w:color w:val="002060"/>
          <w:sz w:val="20"/>
          <w:lang w:val="pt-BR"/>
        </w:rPr>
        <w:t xml:space="preserve">          </w:t>
      </w:r>
      <w:r>
        <w:rPr>
          <w:rFonts w:ascii="Times New Roman" w:hAnsi="Times New Roman"/>
          <w:b/>
          <w:sz w:val="20"/>
          <w:lang w:val="pt-BR"/>
        </w:rPr>
        <w:t xml:space="preserve">Figura 1: </w:t>
      </w:r>
      <w:r>
        <w:rPr>
          <w:rFonts w:ascii="Times New Roman" w:hAnsi="Times New Roman"/>
          <w:sz w:val="20"/>
          <w:lang w:val="pt-BR"/>
        </w:rPr>
        <w:t>Localização do Sítio Arqueológico Piracanjuba, Piraju-SP.</w:t>
      </w:r>
    </w:p>
    <w:p>
      <w:pPr>
        <w:pStyle w:val="Normal"/>
        <w:jc w:val="both"/>
        <w:rPr>
          <w:rFonts w:ascii="Times New Roman" w:hAnsi="Times New Roman"/>
          <w:color w:val="002060"/>
          <w:szCs w:val="24"/>
          <w:lang w:val="pt-BR"/>
        </w:rPr>
      </w:pPr>
      <w:r>
        <w:rPr>
          <w:rFonts w:ascii="Times New Roman" w:hAnsi="Times New Roman"/>
          <w:color w:val="002060"/>
          <w:szCs w:val="24"/>
          <w:lang w:val="pt-BR"/>
        </w:rPr>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 xml:space="preserve">As pesquisas sobre a área do Sítio Arqueológico Piracanjuba fazem parte do ProjPar (Projeto Paranapanema) implantado em 1968, sob a coordenação da Profa. Dra. Luciana Pallestrini, dentro do âmbito institucional do MAE/USP. Esse projeto direcionou os estudos das ocupações pré-históricas ao longo das margens do Rio Paranapanema, lado paulista (FACCIO, 2011). </w:t>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O Rio Paranapanema estabelece a divisão fronteiriça entre os Estados de São Paulo e Paraná. Nasce na Serra de Paranapiacaba, com aproximadamente 900 m de altitude e deságua no Rio Paraná; percorre cerca de 500 km para receber como tributários os Rios Itararé, Pardo, Tibagi e Pirapó (ZIESLER; ARDIZZONE, 1979).  O Rio Paranapanema é caracterizado como sistema de segunda grandeza</w:t>
      </w:r>
      <w:r>
        <w:rPr>
          <w:rStyle w:val="Ncoradanotaderodap"/>
          <w:rFonts w:ascii="Times New Roman" w:hAnsi="Times New Roman"/>
          <w:sz w:val="22"/>
          <w:szCs w:val="22"/>
          <w:lang w:val="pt-BR"/>
        </w:rPr>
        <w:footnoteReference w:id="2"/>
      </w:r>
      <w:r>
        <w:rPr>
          <w:rFonts w:ascii="Times New Roman" w:hAnsi="Times New Roman"/>
          <w:sz w:val="22"/>
          <w:szCs w:val="22"/>
          <w:lang w:val="pt-BR"/>
        </w:rPr>
        <w:t>, a escala analisada teve como parâmetros a Geomorfologia e a hidrologia, caracterizando eventos culturais  próprios de cada região, ligados pela variação interna de sua paisagem e de seus atributos ecológicos.</w:t>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Segundo Ab´Saber (1969), a bacia de drenagem do Rio Paranapanema apresenta 109.6000 km de extensão, estando presente em três grandes unidades do relevo brasileiro: o Planalto Atlântico, a Depressão Periférica e o Planalto Arenítico Basáltico Ocidental. De acordo com o Instituto Geográfico e Geológico (1974), a região de Piraju, SP, é caracterizada pelo domínio dos derramamentos basálticos do final do Mesozoico, da Formação da Serra Geral.</w:t>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Os grupos Guarani que habitavam os terraços do Rio Paranapanema migraram, desde a Amazônia, transitando por longo período pelas calhas e por afluentes de rios até chegar ao Rio Paraná (FACCIO, 2011). A Geomorfologia da bacia do Rio Paranapanema, apresenta em seu relevo abundância de recursos como rochas de silexito</w:t>
      </w:r>
      <w:r>
        <w:rPr>
          <w:rStyle w:val="Ncoradanotaderodap"/>
          <w:rFonts w:ascii="Times New Roman" w:hAnsi="Times New Roman"/>
          <w:sz w:val="22"/>
          <w:szCs w:val="22"/>
          <w:lang w:val="pt-BR"/>
        </w:rPr>
        <w:footnoteReference w:id="3"/>
      </w:r>
      <w:r>
        <w:rPr>
          <w:rFonts w:ascii="Times New Roman" w:hAnsi="Times New Roman"/>
          <w:sz w:val="22"/>
          <w:szCs w:val="22"/>
          <w:lang w:val="pt-BR"/>
        </w:rPr>
        <w:t>, arenito silicificado, basalto e também a argila, facilitando para os grupos indígenas a obtenção de matéria-prima para a confecção de materiais líticos e cerâmicos.</w:t>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r>
    </w:p>
    <w:p>
      <w:pPr>
        <w:pStyle w:val="Normal"/>
        <w:ind w:left="360" w:hanging="0"/>
        <w:rPr>
          <w:b/>
          <w:b/>
          <w:color w:val="002060"/>
          <w:szCs w:val="24"/>
          <w:lang w:val="pt-BR"/>
        </w:rPr>
      </w:pPr>
      <w:r>
        <w:rPr>
          <w:b/>
          <w:color w:val="002060"/>
          <w:szCs w:val="24"/>
          <w:lang w:val="pt-BR"/>
        </w:rPr>
      </w:r>
    </w:p>
    <w:p>
      <w:pPr>
        <w:pStyle w:val="Normal"/>
        <w:spacing w:lineRule="auto" w:line="276"/>
        <w:jc w:val="both"/>
        <w:rPr>
          <w:rFonts w:ascii="Times New Roman" w:hAnsi="Times New Roman"/>
          <w:b/>
          <w:b/>
          <w:sz w:val="22"/>
          <w:szCs w:val="22"/>
          <w:lang w:val="pt-BR"/>
        </w:rPr>
      </w:pPr>
      <w:r>
        <w:rPr>
          <w:rFonts w:ascii="Times New Roman" w:hAnsi="Times New Roman"/>
          <w:b/>
          <w:sz w:val="22"/>
          <w:szCs w:val="22"/>
          <w:lang w:val="pt-BR"/>
        </w:rPr>
        <w:t>2.2 Procedimentos metodológicos</w:t>
      </w:r>
    </w:p>
    <w:p>
      <w:pPr>
        <w:pStyle w:val="Normal"/>
        <w:spacing w:lineRule="auto" w:line="276"/>
        <w:jc w:val="both"/>
        <w:rPr>
          <w:rFonts w:ascii="Times New Roman" w:hAnsi="Times New Roman"/>
          <w:b/>
          <w:b/>
          <w:sz w:val="22"/>
          <w:szCs w:val="22"/>
          <w:lang w:val="pt-BR"/>
        </w:rPr>
      </w:pPr>
      <w:r>
        <w:rPr>
          <w:rFonts w:ascii="Times New Roman" w:hAnsi="Times New Roman"/>
          <w:b/>
          <w:sz w:val="22"/>
          <w:szCs w:val="22"/>
          <w:lang w:val="pt-BR"/>
        </w:rPr>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 xml:space="preserve">Para fundamentação teórica da temática proposta, foram realizados levantamentos bibliográficos, com base em relatórios de campo e obras acadêmicas sobre arqueologia preventiva de sítios arqueológicos no Município de Piraju, destacando-se as obras de Morais (1979; 2010), Pallestrini (1981; 1982; 1984), Faccio (1992; 1998; 2011) e Caldarelli (1997).  </w:t>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 xml:space="preserve">A análise enfatizou a localização – compartimentação do relevo – e a datação de vestígios cerâmicos no perímetro do Sítio Arqueológico Piracanjuba, a fim de discutir o padrão de assentamento guarani. Foi realizada análise espacial intrassítio, cuja proposta priorizou a distribuição dos vestígios arqueológicos na área das quatro manchas pretas. </w:t>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Carr (1984) aborda que a análise espacial intrassítio tem vários objetivos, tanto no nível inferencial, que leva em consideração a reconstrução e explanação dos comportamentos passados</w:t>
      </w:r>
    </w:p>
    <w:p>
      <w:pPr>
        <w:pStyle w:val="Normal"/>
        <w:spacing w:lineRule="auto" w:line="360"/>
        <w:jc w:val="both"/>
        <w:rPr>
          <w:rFonts w:ascii="Times New Roman" w:hAnsi="Times New Roman"/>
          <w:sz w:val="22"/>
          <w:szCs w:val="22"/>
          <w:lang w:val="pt-BR"/>
        </w:rPr>
      </w:pPr>
      <w:r>
        <w:rPr>
          <w:rFonts w:ascii="Times New Roman" w:hAnsi="Times New Roman"/>
          <w:sz w:val="22"/>
          <w:szCs w:val="22"/>
          <w:lang w:val="pt-BR"/>
        </w:rPr>
        <w:t>e atividades não observáveis e o nível operacional, das relações entre observações arqueológicas.</w:t>
      </w:r>
    </w:p>
    <w:p>
      <w:pPr>
        <w:pStyle w:val="Normal"/>
        <w:spacing w:lineRule="auto" w:line="360"/>
        <w:ind w:firstLine="720"/>
        <w:jc w:val="both"/>
        <w:rPr>
          <w:rFonts w:ascii="Times New Roman" w:hAnsi="Times New Roman"/>
          <w:sz w:val="22"/>
          <w:szCs w:val="22"/>
          <w:lang w:val="pt-BR"/>
        </w:rPr>
      </w:pPr>
      <w:r>
        <w:rPr>
          <w:rFonts w:ascii="Times New Roman" w:hAnsi="Times New Roman"/>
          <w:sz w:val="22"/>
          <w:szCs w:val="22"/>
          <w:lang w:val="pt-BR"/>
        </w:rPr>
        <w:t xml:space="preserve"> </w:t>
      </w:r>
      <w:r>
        <w:rPr>
          <w:rFonts w:ascii="Times New Roman" w:hAnsi="Times New Roman"/>
          <w:sz w:val="22"/>
          <w:szCs w:val="22"/>
          <w:lang w:val="pt-BR"/>
        </w:rPr>
        <w:t>Nesse caso, tivemos como base o nível inferencial da análise espacial intrassítio realizado por duas razões: definir limites espaciais de áreas de atividades e definir a organização dos tipos de artefatos dentro do conjunto de ferramentas.</w:t>
      </w:r>
    </w:p>
    <w:p>
      <w:pPr>
        <w:pStyle w:val="Normal"/>
        <w:spacing w:lineRule="auto" w:line="360"/>
        <w:ind w:left="66" w:firstLine="654"/>
        <w:jc w:val="both"/>
        <w:rPr>
          <w:sz w:val="22"/>
          <w:szCs w:val="22"/>
          <w:lang w:val="pt-BR"/>
        </w:rPr>
      </w:pPr>
      <w:r>
        <w:rPr>
          <w:rFonts w:ascii="Times New Roman" w:hAnsi="Times New Roman"/>
          <w:sz w:val="22"/>
          <w:szCs w:val="22"/>
          <w:lang w:val="pt-BR" w:eastAsia="pt-BR"/>
        </w:rPr>
        <w:t xml:space="preserve">A tentativa de analisar a compartimentação topográfica do sítio arqueológico localizado e a paisagem, com base na </w:t>
      </w:r>
      <w:r>
        <w:rPr>
          <w:sz w:val="22"/>
          <w:szCs w:val="22"/>
          <w:lang w:val="pt-BR"/>
        </w:rPr>
        <w:t xml:space="preserve">aplicabilidade das bases geomorfológicas e interpretação de evidências arqueológicas, teve como metodologia </w:t>
      </w:r>
      <w:r>
        <w:rPr>
          <w:rFonts w:ascii="Times New Roman" w:hAnsi="Times New Roman"/>
          <w:sz w:val="22"/>
          <w:szCs w:val="22"/>
          <w:lang w:val="pt-BR" w:eastAsia="pt-BR"/>
        </w:rPr>
        <w:t>os n</w:t>
      </w:r>
      <w:r>
        <w:rPr>
          <w:sz w:val="22"/>
          <w:szCs w:val="22"/>
          <w:lang w:val="pt-BR"/>
        </w:rPr>
        <w:t>íveis de tratamento proposto por Ab’ Saber (1969).</w:t>
      </w:r>
    </w:p>
    <w:p>
      <w:pPr>
        <w:pStyle w:val="Normal"/>
        <w:spacing w:lineRule="auto" w:line="360"/>
        <w:ind w:left="66" w:firstLine="654"/>
        <w:jc w:val="both"/>
        <w:rPr>
          <w:rFonts w:ascii="Times New Roman" w:hAnsi="Times New Roman"/>
          <w:sz w:val="22"/>
          <w:szCs w:val="22"/>
          <w:lang w:val="pt-BR" w:eastAsia="pt-BR"/>
        </w:rPr>
      </w:pPr>
      <w:r>
        <w:rPr>
          <w:rFonts w:ascii="Times New Roman" w:hAnsi="Times New Roman"/>
          <w:sz w:val="22"/>
          <w:szCs w:val="22"/>
          <w:lang w:val="pt-BR" w:eastAsia="pt-BR"/>
        </w:rPr>
        <w:t xml:space="preserve">O primeiro nível tem por objetivo </w:t>
      </w:r>
      <w:r>
        <w:rPr>
          <w:rFonts w:ascii="Times New Roman" w:hAnsi="Times New Roman"/>
          <w:b/>
          <w:sz w:val="22"/>
          <w:szCs w:val="22"/>
          <w:lang w:val="pt-BR" w:eastAsia="pt-BR"/>
        </w:rPr>
        <w:t>compartimentar a topografia regional</w:t>
      </w:r>
      <w:r>
        <w:rPr>
          <w:rFonts w:ascii="Times New Roman" w:hAnsi="Times New Roman"/>
          <w:sz w:val="22"/>
          <w:szCs w:val="22"/>
          <w:lang w:val="pt-BR" w:eastAsia="pt-BR"/>
        </w:rPr>
        <w:t xml:space="preserve">, a partir da relação das formas de relevo em cada um dos compartimentos, de modo a obter informações sistemáticas sobre a estrutura superficial da paisagem, baseadas nos elementos topográficos e morfológicos, ou seja, sobre os compartimentos e as formas de relevo. Esse primeiro nível busca uma caracterização da situação morfológico-espacial por meio de um plano horizontal. </w:t>
      </w:r>
    </w:p>
    <w:p>
      <w:pPr>
        <w:pStyle w:val="Normal"/>
        <w:spacing w:lineRule="auto" w:line="360"/>
        <w:ind w:left="66" w:firstLine="654"/>
        <w:jc w:val="both"/>
        <w:rPr>
          <w:rFonts w:ascii="Times New Roman" w:hAnsi="Times New Roman"/>
          <w:sz w:val="22"/>
          <w:szCs w:val="22"/>
          <w:lang w:val="pt-BR" w:eastAsia="pt-BR"/>
        </w:rPr>
      </w:pPr>
      <w:r>
        <w:rPr>
          <w:rFonts w:ascii="Times New Roman" w:hAnsi="Times New Roman"/>
          <w:color w:val="000000"/>
          <w:sz w:val="22"/>
          <w:szCs w:val="22"/>
          <w:lang w:val="pt-BR" w:eastAsia="pt-BR"/>
        </w:rPr>
        <w:t xml:space="preserve">O segundo nível procura explicar, pela sequência deposicional, a análise vertical das evidências cronogeomorfológicas da </w:t>
      </w:r>
      <w:r>
        <w:rPr>
          <w:rFonts w:ascii="Times New Roman" w:hAnsi="Times New Roman"/>
          <w:b/>
          <w:color w:val="000000"/>
          <w:sz w:val="22"/>
          <w:szCs w:val="22"/>
          <w:lang w:val="pt-BR" w:eastAsia="pt-BR"/>
        </w:rPr>
        <w:t>estrutura superficial da paisagem</w:t>
      </w:r>
      <w:r>
        <w:rPr>
          <w:rFonts w:ascii="Times New Roman" w:hAnsi="Times New Roman"/>
          <w:color w:val="000000"/>
          <w:sz w:val="22"/>
          <w:szCs w:val="22"/>
          <w:lang w:val="pt-BR" w:eastAsia="pt-BR"/>
        </w:rPr>
        <w:t xml:space="preserve">, tendo por base a análise dos processos morfoclimáticos e pedogênicos. No terceiro nível, a análise </w:t>
      </w:r>
      <w:r>
        <w:rPr>
          <w:rFonts w:ascii="Times New Roman" w:hAnsi="Times New Roman"/>
          <w:b/>
          <w:color w:val="000000" w:themeColor="text1"/>
          <w:sz w:val="22"/>
          <w:szCs w:val="22"/>
          <w:lang w:val="pt-BR" w:eastAsia="pt-BR"/>
        </w:rPr>
        <w:t>fisiologia da paisagem</w:t>
      </w:r>
      <w:r>
        <w:rPr>
          <w:rFonts w:ascii="Times New Roman" w:hAnsi="Times New Roman"/>
          <w:color w:val="000000"/>
          <w:sz w:val="22"/>
          <w:szCs w:val="22"/>
          <w:lang w:val="pt-BR" w:eastAsia="pt-BR"/>
        </w:rPr>
        <w:t xml:space="preserve"> tem por objetivo compreender os processos morfogenéticos a partir da dinâmica climática atual. </w:t>
      </w:r>
      <w:r>
        <w:rPr>
          <w:rFonts w:ascii="Times New Roman" w:hAnsi="Times New Roman"/>
          <w:sz w:val="22"/>
          <w:szCs w:val="22"/>
          <w:lang w:val="pt-BR" w:eastAsia="pt-BR"/>
        </w:rPr>
        <w:t xml:space="preserve">Desse modo, os três níveis tornam evidente uma progressão contínua em termos de controle de campo, para descrever os processos morfogenéticos da área estudada (CASSETI, 1983). </w:t>
      </w:r>
    </w:p>
    <w:p>
      <w:pPr>
        <w:pStyle w:val="Normal"/>
        <w:spacing w:lineRule="auto" w:line="360"/>
        <w:ind w:left="66" w:firstLine="654"/>
        <w:jc w:val="both"/>
        <w:rPr>
          <w:rFonts w:ascii="Times New Roman" w:hAnsi="Times New Roman"/>
          <w:color w:val="000000"/>
          <w:sz w:val="22"/>
          <w:szCs w:val="22"/>
          <w:lang w:val="pt-BR" w:eastAsia="pt-BR"/>
        </w:rPr>
      </w:pPr>
      <w:r>
        <w:rPr>
          <w:rFonts w:ascii="Times New Roman" w:hAnsi="Times New Roman"/>
          <w:sz w:val="22"/>
          <w:szCs w:val="22"/>
          <w:lang w:val="pt-BR" w:eastAsia="pt-BR"/>
        </w:rPr>
        <w:t xml:space="preserve">De acordo com o autor, é evidente a aplicação dos dois primeiros níveis metodológicos para a Arqueologia, por “entender uma estreita vinculação entre os compartimentos topográficos e formas de relevo na eleição dos sítios e através dos fatores morfodinâmicos, a inumação por depósitos correlativos de evidências arqueológicas” (CASSETI, 1983, p. 3). </w:t>
      </w:r>
    </w:p>
    <w:p>
      <w:pPr>
        <w:pStyle w:val="Normal"/>
        <w:spacing w:lineRule="auto" w:line="360"/>
        <w:ind w:left="66" w:firstLine="654"/>
        <w:jc w:val="both"/>
        <w:rPr>
          <w:rFonts w:ascii="Times New Roman" w:hAnsi="Times New Roman"/>
          <w:sz w:val="22"/>
          <w:szCs w:val="22"/>
          <w:lang w:val="pt-BR" w:eastAsia="pt-BR"/>
        </w:rPr>
      </w:pPr>
      <w:r>
        <w:rPr>
          <w:rFonts w:ascii="Times New Roman" w:hAnsi="Times New Roman"/>
          <w:sz w:val="22"/>
          <w:szCs w:val="22"/>
          <w:lang w:val="pt-BR" w:eastAsia="pt-BR"/>
        </w:rPr>
        <w:t xml:space="preserve">Desse modo, a análise da compartimentação topográfica e as formas de relevo presentes no sítio arqueológico devem ser compreendidas a partir dos dois níveis, sendo que: </w:t>
      </w:r>
    </w:p>
    <w:p>
      <w:pPr>
        <w:pStyle w:val="Normal"/>
        <w:jc w:val="both"/>
        <w:rPr>
          <w:rFonts w:ascii="Times New Roman" w:hAnsi="Times New Roman"/>
          <w:color w:val="002060"/>
          <w:sz w:val="22"/>
          <w:szCs w:val="22"/>
          <w:lang w:val="pt-BR" w:eastAsia="pt-BR"/>
        </w:rPr>
      </w:pPr>
      <w:r>
        <w:rPr>
          <w:rFonts w:ascii="Times New Roman" w:hAnsi="Times New Roman"/>
          <w:color w:val="002060"/>
          <w:sz w:val="22"/>
          <w:szCs w:val="22"/>
          <w:lang w:val="pt-BR" w:eastAsia="pt-BR"/>
        </w:rPr>
      </w:r>
    </w:p>
    <w:p>
      <w:pPr>
        <w:pStyle w:val="Normal"/>
        <w:ind w:left="2880" w:hanging="0"/>
        <w:jc w:val="both"/>
        <w:rPr>
          <w:rFonts w:ascii="Times New Roman" w:hAnsi="Times New Roman"/>
          <w:color w:val="002060"/>
          <w:sz w:val="20"/>
          <w:lang w:val="pt-BR" w:eastAsia="pt-BR"/>
        </w:rPr>
      </w:pPr>
      <w:r>
        <w:rPr>
          <w:rFonts w:ascii="Times New Roman" w:hAnsi="Times New Roman"/>
          <w:sz w:val="20"/>
          <w:lang w:val="pt-BR" w:eastAsia="pt-BR"/>
        </w:rPr>
        <w:t xml:space="preserve">O primeiro nível metodológico pode ser caracterizado a partir da prospecção arqueológica, oferecendo subsídios à justificativa da escolha dos sítios, não só quanto à posição estratégica, visando a uma possível defesa, mas principalmente como recurso disponível à sobrevivência: abrigo, água, alimento e materiais necessários à confecção de utensílios, indispensáveis à prática da sobrevivência. (CASSETI, 1983, p. 4). </w:t>
      </w:r>
    </w:p>
    <w:p>
      <w:pPr>
        <w:pStyle w:val="Normal"/>
        <w:ind w:left="2880" w:hanging="0"/>
        <w:jc w:val="both"/>
        <w:rPr>
          <w:rFonts w:ascii="Times New Roman" w:hAnsi="Times New Roman"/>
          <w:color w:val="002060"/>
          <w:szCs w:val="24"/>
          <w:lang w:val="pt-BR" w:eastAsia="pt-BR"/>
        </w:rPr>
      </w:pPr>
      <w:r>
        <w:rPr>
          <w:rFonts w:ascii="Times New Roman" w:hAnsi="Times New Roman"/>
          <w:color w:val="002060"/>
          <w:szCs w:val="24"/>
          <w:lang w:val="pt-BR" w:eastAsia="pt-BR"/>
        </w:rPr>
      </w:r>
    </w:p>
    <w:p>
      <w:pPr>
        <w:pStyle w:val="Normal"/>
        <w:ind w:left="2160" w:hanging="0"/>
        <w:jc w:val="both"/>
        <w:rPr>
          <w:rFonts w:ascii="Times New Roman" w:hAnsi="Times New Roman"/>
          <w:color w:val="002060"/>
          <w:szCs w:val="24"/>
          <w:lang w:val="pt-BR" w:eastAsia="pt-BR"/>
        </w:rPr>
      </w:pPr>
      <w:r>
        <w:rPr>
          <w:rFonts w:ascii="Times New Roman" w:hAnsi="Times New Roman"/>
          <w:color w:val="002060"/>
          <w:szCs w:val="24"/>
          <w:lang w:val="pt-BR" w:eastAsia="pt-BR"/>
        </w:rPr>
      </w:r>
    </w:p>
    <w:p>
      <w:pPr>
        <w:pStyle w:val="Default"/>
        <w:spacing w:lineRule="auto" w:line="360"/>
        <w:ind w:firstLine="720"/>
        <w:jc w:val="both"/>
        <w:rPr>
          <w:rFonts w:ascii="Times New Roman" w:hAnsi="Times New Roman" w:eastAsia="Times" w:cs="Times New Roman"/>
          <w:color w:val="00000A"/>
          <w:sz w:val="22"/>
          <w:szCs w:val="22"/>
          <w:lang w:val="pt-BR" w:eastAsia="pt-BR"/>
        </w:rPr>
      </w:pPr>
      <w:r>
        <w:rPr>
          <w:rFonts w:ascii="Times New Roman" w:hAnsi="Times New Roman"/>
          <w:color w:val="00000A"/>
          <w:sz w:val="22"/>
          <w:szCs w:val="22"/>
          <w:lang w:val="pt-BR" w:eastAsia="pt-BR"/>
        </w:rPr>
        <w:t xml:space="preserve">Nesse sentido, a compartimentação topográfica é caracterizada como um referencial indispensável para a caracterização da área do sítio arqueológico, pois a análise da estrutura </w:t>
      </w:r>
      <w:r>
        <w:rPr>
          <w:rFonts w:eastAsia="Times" w:cs="Times New Roman" w:ascii="Times New Roman" w:hAnsi="Times New Roman"/>
          <w:color w:val="00000A"/>
          <w:sz w:val="22"/>
          <w:szCs w:val="22"/>
          <w:lang w:val="pt-BR" w:eastAsia="pt-BR"/>
        </w:rPr>
        <w:t xml:space="preserve">superficial procura observar o solo e os depósitos de cobertura vegetal presentes nas vertentes e interflúvios, de modo que formule uma análise do passado, utilizando-se como base o desfolhamento sistemático dos componentes epidérmicos da paisagem (CASSETI, 1983). </w:t>
      </w:r>
    </w:p>
    <w:p>
      <w:pPr>
        <w:pStyle w:val="Normal"/>
        <w:spacing w:lineRule="auto" w:line="360"/>
        <w:ind w:left="66" w:firstLine="360"/>
        <w:jc w:val="both"/>
        <w:rPr>
          <w:rFonts w:ascii="Times New Roman" w:hAnsi="Times New Roman"/>
          <w:sz w:val="22"/>
          <w:szCs w:val="22"/>
          <w:lang w:val="pt-BR" w:eastAsia="pt-BR"/>
        </w:rPr>
      </w:pPr>
      <w:r>
        <w:rPr>
          <w:rFonts w:ascii="Times New Roman" w:hAnsi="Times New Roman"/>
          <w:sz w:val="22"/>
          <w:szCs w:val="22"/>
          <w:lang w:val="pt-BR" w:eastAsia="pt-BR"/>
        </w:rPr>
        <w:t xml:space="preserve">    </w:t>
      </w:r>
      <w:r>
        <w:rPr>
          <w:rFonts w:ascii="Times New Roman" w:hAnsi="Times New Roman"/>
          <w:sz w:val="22"/>
          <w:szCs w:val="22"/>
          <w:lang w:val="pt-BR" w:eastAsia="pt-BR"/>
        </w:rPr>
        <w:t xml:space="preserve">Casseti (1983) ainda relata que o estudo, a partir desses dois níveis, contribui para a compreensão da escolha da posição geográfica do sítio arqueológico, e ainda oferece elementos auxiliares para análise de evidências de coluvionamentos posteriores, pelos caracteres físico-químicos dos depósitos correlativos. Desse modo, a análise da estrutura superficial permite que o arqueólogo consiga comprovar os estudos cronogeomorfológicos, a partir da datação dos vestígios arqueológicos e dos geoindicadores com indícios de habitação em tempos pretéritos. </w:t>
      </w:r>
    </w:p>
    <w:p>
      <w:pPr>
        <w:pStyle w:val="Normal"/>
        <w:spacing w:lineRule="auto" w:line="276"/>
        <w:jc w:val="both"/>
        <w:rPr>
          <w:rFonts w:ascii="Times New Roman" w:hAnsi="Times New Roman"/>
          <w:color w:val="002060"/>
          <w:szCs w:val="24"/>
          <w:lang w:val="pt-BR" w:eastAsia="pt-BR"/>
        </w:rPr>
      </w:pPr>
      <w:r>
        <w:rPr>
          <w:rFonts w:ascii="Times New Roman" w:hAnsi="Times New Roman"/>
          <w:color w:val="002060"/>
          <w:szCs w:val="24"/>
          <w:lang w:val="pt-BR" w:eastAsia="pt-BR"/>
        </w:rPr>
      </w:r>
    </w:p>
    <w:p>
      <w:pPr>
        <w:pStyle w:val="Normal"/>
        <w:numPr>
          <w:ilvl w:val="0"/>
          <w:numId w:val="1"/>
        </w:numPr>
        <w:spacing w:lineRule="auto" w:line="276"/>
        <w:rPr>
          <w:b/>
          <w:b/>
          <w:sz w:val="22"/>
          <w:szCs w:val="22"/>
          <w:lang w:val="pt-PT"/>
        </w:rPr>
      </w:pPr>
      <w:r>
        <w:rPr>
          <w:b/>
          <w:sz w:val="22"/>
          <w:szCs w:val="22"/>
          <w:lang w:val="pt-PT"/>
        </w:rPr>
        <w:t>RESULTADOS E DISCUSSÕES</w:t>
      </w:r>
    </w:p>
    <w:p>
      <w:pPr>
        <w:pStyle w:val="Normal"/>
        <w:spacing w:lineRule="auto" w:line="276"/>
        <w:rPr>
          <w:b/>
          <w:b/>
          <w:color w:val="002060"/>
          <w:szCs w:val="24"/>
          <w:lang w:val="pt-PT"/>
        </w:rPr>
      </w:pPr>
      <w:r>
        <w:rPr>
          <w:b/>
          <w:color w:val="002060"/>
          <w:szCs w:val="24"/>
          <w:lang w:val="pt-PT"/>
        </w:rPr>
      </w:r>
    </w:p>
    <w:p>
      <w:pPr>
        <w:pStyle w:val="Normal"/>
        <w:spacing w:lineRule="auto" w:line="360"/>
        <w:ind w:firstLine="708"/>
        <w:jc w:val="both"/>
        <w:rPr>
          <w:rFonts w:ascii="Times New Roman" w:hAnsi="Times New Roman"/>
          <w:iCs/>
          <w:sz w:val="22"/>
          <w:szCs w:val="22"/>
          <w:lang w:val="pt-BR"/>
        </w:rPr>
      </w:pPr>
      <w:r>
        <w:rPr>
          <w:rFonts w:ascii="Times New Roman" w:hAnsi="Times New Roman"/>
          <w:sz w:val="22"/>
          <w:szCs w:val="22"/>
          <w:lang w:val="pt-BR"/>
        </w:rPr>
        <w:t>O sítio arqueológico apresenta grande quantidade de material arqueológico, principalmente o material cerâmico com decoração pintada policrômica, característica da cerâmica Guarani. Prous (2005) relata que esse tipo de cerâmica apresenta em sua pintura cores vermelhas, preta e branca (ou creme). A cerâmica Guarani apresenta parede angular, antiplástico mineral e caco moído, pintura vermelha e preta sobre engobo branco (</w:t>
      </w:r>
      <w:r>
        <w:rPr>
          <w:rFonts w:ascii="Times New Roman" w:hAnsi="Times New Roman"/>
          <w:b/>
          <w:bCs/>
          <w:sz w:val="22"/>
          <w:szCs w:val="22"/>
          <w:lang w:val="pt-BR"/>
        </w:rPr>
        <w:t>Figuras 2 e 3</w:t>
      </w:r>
      <w:r>
        <w:rPr>
          <w:rFonts w:ascii="Times New Roman" w:hAnsi="Times New Roman"/>
          <w:sz w:val="22"/>
          <w:szCs w:val="22"/>
          <w:lang w:val="pt-BR"/>
        </w:rPr>
        <w:t xml:space="preserve">). </w:t>
      </w:r>
    </w:p>
    <w:p>
      <w:pPr>
        <w:pStyle w:val="Normal"/>
        <w:spacing w:lineRule="auto" w:line="276"/>
        <w:rPr>
          <w:b/>
          <w:b/>
          <w:color w:val="002060"/>
          <w:szCs w:val="24"/>
          <w:lang w:val="pt-BR"/>
        </w:rPr>
      </w:pPr>
      <w:r>
        <w:rPr>
          <w:b/>
          <w:color w:val="002060"/>
          <w:szCs w:val="24"/>
          <w:lang w:val="pt-BR"/>
        </w:rPr>
      </w:r>
    </w:p>
    <w:p>
      <w:pPr>
        <w:pStyle w:val="Normal"/>
        <w:spacing w:lineRule="auto" w:line="276"/>
        <w:jc w:val="center"/>
        <w:rPr>
          <w:b/>
          <w:b/>
          <w:color w:val="002060"/>
          <w:szCs w:val="24"/>
          <w:lang w:val="pt-PT"/>
        </w:rPr>
      </w:pPr>
      <w:r>
        <w:rPr/>
        <w:drawing>
          <wp:inline distT="0" distB="0" distL="0" distR="0">
            <wp:extent cx="2590800" cy="1943100"/>
            <wp:effectExtent l="0" t="0" r="0" b="0"/>
            <wp:docPr id="2" name="Imagem 15" descr="Descrição: C:\Users\Larissa\Desktop\cera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5" descr="Descrição: C:\Users\Larissa\Desktop\ceramica.png"/>
                    <pic:cNvPicPr>
                      <a:picLocks noChangeAspect="1" noChangeArrowheads="1"/>
                    </pic:cNvPicPr>
                  </pic:nvPicPr>
                  <pic:blipFill>
                    <a:blip r:embed="rId3"/>
                    <a:stretch>
                      <a:fillRect/>
                    </a:stretch>
                  </pic:blipFill>
                  <pic:spPr bwMode="auto">
                    <a:xfrm>
                      <a:off x="0" y="0"/>
                      <a:ext cx="2590800" cy="1943100"/>
                    </a:xfrm>
                    <a:prstGeom prst="rect">
                      <a:avLst/>
                    </a:prstGeom>
                  </pic:spPr>
                </pic:pic>
              </a:graphicData>
            </a:graphic>
          </wp:inline>
        </w:drawing>
      </w:r>
      <w:r>
        <w:rPr>
          <w:b/>
          <w:color w:val="002060"/>
          <w:szCs w:val="24"/>
          <w:lang w:val="pt-PT"/>
        </w:rPr>
        <w:t xml:space="preserve">  </w:t>
      </w:r>
      <w:r>
        <w:rPr>
          <w:b/>
          <w:color w:val="002060"/>
          <w:szCs w:val="24"/>
          <w:lang w:val="pt-PT"/>
        </w:rPr>
        <w:drawing>
          <wp:inline distT="0" distB="8255" distL="0" distR="2540">
            <wp:extent cx="2378710" cy="1953895"/>
            <wp:effectExtent l="0" t="0" r="0" b="0"/>
            <wp:docPr id="3" name="Imagem 14" descr="Descrição: C:\Users\Larissa\Desktop\li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4" descr="Descrição: C:\Users\Larissa\Desktop\litico.png"/>
                    <pic:cNvPicPr>
                      <a:picLocks noChangeAspect="1" noChangeArrowheads="1"/>
                    </pic:cNvPicPr>
                  </pic:nvPicPr>
                  <pic:blipFill>
                    <a:blip r:embed="rId4"/>
                    <a:stretch>
                      <a:fillRect/>
                    </a:stretch>
                  </pic:blipFill>
                  <pic:spPr bwMode="auto">
                    <a:xfrm>
                      <a:off x="0" y="0"/>
                      <a:ext cx="2378710" cy="1953895"/>
                    </a:xfrm>
                    <a:prstGeom prst="rect">
                      <a:avLst/>
                    </a:prstGeom>
                  </pic:spPr>
                </pic:pic>
              </a:graphicData>
            </a:graphic>
          </wp:inline>
        </w:drawing>
      </w:r>
    </w:p>
    <w:p>
      <w:pPr>
        <w:pStyle w:val="Normal"/>
        <w:spacing w:lineRule="auto" w:line="276"/>
        <w:jc w:val="both"/>
        <w:rPr>
          <w:rFonts w:ascii="Times New Roman" w:hAnsi="Times New Roman"/>
          <w:sz w:val="20"/>
          <w:lang w:val="pt-BR"/>
        </w:rPr>
      </w:pPr>
      <w:r>
        <w:rPr>
          <w:rFonts w:ascii="Times New Roman" w:hAnsi="Times New Roman"/>
          <w:b/>
          <w:sz w:val="20"/>
          <w:lang w:val="pt-BR"/>
        </w:rPr>
        <w:t xml:space="preserve">Figuras 2 e 3: </w:t>
      </w:r>
      <w:r>
        <w:rPr>
          <w:rFonts w:ascii="Times New Roman" w:hAnsi="Times New Roman"/>
          <w:sz w:val="20"/>
          <w:lang w:val="pt-BR"/>
        </w:rPr>
        <w:t>Cerâmica Guarani policrômica e líticos lascados do Sítio Arqueológico Piracanjuba, Piraju -SP.</w:t>
      </w:r>
    </w:p>
    <w:p>
      <w:pPr>
        <w:pStyle w:val="Normal"/>
        <w:spacing w:lineRule="auto" w:line="360"/>
        <w:ind w:firstLine="720"/>
        <w:jc w:val="both"/>
        <w:rPr>
          <w:rFonts w:ascii="Times New Roman" w:hAnsi="Times New Roman"/>
          <w:szCs w:val="24"/>
          <w:lang w:val="pt-BR"/>
        </w:rPr>
      </w:pPr>
      <w:r>
        <w:rPr>
          <w:rFonts w:ascii="Times New Roman" w:hAnsi="Times New Roman"/>
          <w:szCs w:val="24"/>
          <w:lang w:val="pt-BR"/>
        </w:rPr>
      </w:r>
    </w:p>
    <w:p>
      <w:pPr>
        <w:pStyle w:val="Normal"/>
        <w:spacing w:lineRule="auto" w:line="360"/>
        <w:ind w:firstLine="720"/>
        <w:jc w:val="both"/>
        <w:rPr>
          <w:rFonts w:ascii="Times New Roman" w:hAnsi="Times New Roman"/>
          <w:szCs w:val="24"/>
          <w:lang w:val="pt-BR"/>
        </w:rPr>
      </w:pPr>
      <w:r>
        <w:rPr>
          <w:rFonts w:ascii="Times New Roman" w:hAnsi="Times New Roman"/>
          <w:szCs w:val="24"/>
          <w:lang w:val="pt-BR"/>
        </w:rPr>
      </w:r>
    </w:p>
    <w:p>
      <w:pPr>
        <w:pStyle w:val="Normal"/>
        <w:spacing w:lineRule="auto" w:line="360"/>
        <w:ind w:firstLine="720"/>
        <w:jc w:val="both"/>
        <w:rPr>
          <w:rFonts w:ascii="Times New Roman" w:hAnsi="Times New Roman"/>
          <w:sz w:val="22"/>
          <w:szCs w:val="22"/>
          <w:lang w:val="pt-BR"/>
        </w:rPr>
      </w:pPr>
      <w:r>
        <w:rPr>
          <w:rFonts w:ascii="Times New Roman" w:hAnsi="Times New Roman"/>
          <w:sz w:val="22"/>
          <w:szCs w:val="22"/>
          <w:lang w:val="pt-BR"/>
        </w:rPr>
        <w:t>Além do material cerâmico, no sítio arqueológico foram evidenciados líticos lascados, como lascas, núcleos (Figura 3) e polidos como tembetás, machados, amoladores, calibradores; líticos lascados e vestígios faunísticos. De acordo com as datações obtidas por termoluminescência e carbono 14, o grupo Guarani habitou a área do sítio do século XIV ao XVII. O conjunto de vestígios encontrados neste sítio possibilita classificá-lo como remanescente de uma aldeia (GONZALEZ; PIEDADE, et. al., 2007).</w:t>
      </w:r>
    </w:p>
    <w:p>
      <w:pPr>
        <w:pStyle w:val="Normal"/>
        <w:spacing w:lineRule="auto" w:line="360"/>
        <w:ind w:firstLine="720"/>
        <w:jc w:val="both"/>
        <w:rPr>
          <w:rFonts w:ascii="Times New Roman" w:hAnsi="Times New Roman"/>
          <w:sz w:val="22"/>
          <w:szCs w:val="22"/>
          <w:lang w:val="pt-BR"/>
        </w:rPr>
      </w:pPr>
      <w:r>
        <w:rPr>
          <w:rFonts w:ascii="Times New Roman" w:hAnsi="Times New Roman"/>
          <w:sz w:val="22"/>
          <w:szCs w:val="22"/>
          <w:lang w:val="pt-BR"/>
        </w:rPr>
        <w:t>As primeiras escavações arqueológicas na cidade de Piraju, SP, foram realizadas por Pallestrini (1968; 1969) nas áreas dos Sítios Alves, Camargo (PALLESTRINI; CHIARA, 1978), Nunes e Camargo 2, analisado por Morais (1988). Segundo Faccio (2011), nas áreas do baixo, médio e alto Paranapanema, os Guarani ocuparam terraços, quando o assentamento estava próximo ao Rio Paranapanema e de meia encosta de vertentes suaves e áreas de ápice de colina com a presença de um rio próximo ao local, quando distantes do Rio Paranapanema.</w:t>
      </w:r>
    </w:p>
    <w:p>
      <w:pPr>
        <w:pStyle w:val="Normal"/>
        <w:widowControl w:val="false"/>
        <w:spacing w:lineRule="auto" w:line="360"/>
        <w:ind w:firstLine="720"/>
        <w:jc w:val="both"/>
        <w:rPr>
          <w:rFonts w:ascii="Times New Roman" w:hAnsi="Times New Roman"/>
          <w:sz w:val="22"/>
          <w:szCs w:val="22"/>
          <w:lang w:val="pt-BR"/>
        </w:rPr>
      </w:pPr>
      <w:r>
        <w:rPr>
          <w:rFonts w:ascii="Times New Roman" w:hAnsi="Times New Roman"/>
          <w:sz w:val="22"/>
          <w:szCs w:val="22"/>
          <w:lang w:val="pt-BR"/>
        </w:rPr>
        <w:t>A paisagem característica da localização dos sítios arqueológicos mostra que fundos de habitação aparecem em cores escuras, realçadas pelo crescimento diferencial da vegetação. Outra característica relevante dos assentamentos é identificada pelo tamanho da aldeia, caso em que os geoindicadores trazem contribuições a respeito da distribuição dos vestígios no perímetro do sítio arqueológico (PROUS, 1992).</w:t>
      </w:r>
    </w:p>
    <w:p>
      <w:pPr>
        <w:pStyle w:val="Normal"/>
        <w:spacing w:lineRule="auto" w:line="360"/>
        <w:ind w:firstLine="708"/>
        <w:jc w:val="both"/>
        <w:rPr>
          <w:rFonts w:ascii="Times New Roman" w:hAnsi="Times New Roman"/>
          <w:b/>
          <w:b/>
          <w:sz w:val="22"/>
          <w:szCs w:val="22"/>
          <w:highlight w:val="yellow"/>
          <w:lang w:val="pt-BR"/>
        </w:rPr>
      </w:pPr>
      <w:r>
        <w:rPr>
          <w:rFonts w:ascii="Times New Roman" w:hAnsi="Times New Roman"/>
          <w:sz w:val="22"/>
          <w:szCs w:val="22"/>
          <w:lang w:val="pt-BR"/>
        </w:rPr>
        <w:t>Durante as escavações na área do Sítio Arqueológico Piracanjuba, foram identificadas quatro manchas de solo antropogênico, também conhecidas como manchas pretas, remanescentes de antiga aldeia de populações agricultoras pertencentes ao Sistema Regional de Ocupação Guarani (</w:t>
      </w:r>
      <w:r>
        <w:rPr>
          <w:rFonts w:ascii="Times New Roman" w:hAnsi="Times New Roman"/>
          <w:b/>
          <w:sz w:val="22"/>
          <w:szCs w:val="22"/>
          <w:lang w:val="pt-BR"/>
        </w:rPr>
        <w:t>Figuras 4 e 5</w:t>
      </w:r>
      <w:r>
        <w:rPr>
          <w:rFonts w:ascii="Times New Roman" w:hAnsi="Times New Roman"/>
          <w:sz w:val="22"/>
          <w:szCs w:val="22"/>
          <w:lang w:val="pt-BR"/>
        </w:rPr>
        <w:t>).</w:t>
      </w:r>
    </w:p>
    <w:p>
      <w:pPr>
        <w:pStyle w:val="Normal"/>
        <w:jc w:val="center"/>
        <w:rPr>
          <w:rFonts w:ascii="Times New Roman" w:hAnsi="Times New Roman"/>
          <w:color w:val="002060"/>
          <w:szCs w:val="24"/>
          <w:lang w:val="pt-BR"/>
        </w:rPr>
      </w:pPr>
      <w:r>
        <mc:AlternateContent>
          <mc:Choice Requires="wps">
            <w:drawing>
              <wp:anchor behindDoc="0" distT="0" distB="0" distL="114300" distR="114300" simplePos="0" locked="0" layoutInCell="1" allowOverlap="1" relativeHeight="2" wp14:anchorId="44D828D6">
                <wp:simplePos x="0" y="0"/>
                <wp:positionH relativeFrom="column">
                  <wp:posOffset>4124960</wp:posOffset>
                </wp:positionH>
                <wp:positionV relativeFrom="paragraph">
                  <wp:posOffset>609600</wp:posOffset>
                </wp:positionV>
                <wp:extent cx="467360" cy="181610"/>
                <wp:effectExtent l="10160" t="9525" r="8890" b="9525"/>
                <wp:wrapNone/>
                <wp:docPr id="4" name="Oval 2"/>
                <a:graphic xmlns:a="http://schemas.openxmlformats.org/drawingml/2006/main">
                  <a:graphicData uri="http://schemas.microsoft.com/office/word/2010/wordprocessingShape">
                    <wps:wsp>
                      <wps:cNvSpPr/>
                      <wps:spPr>
                        <a:xfrm>
                          <a:off x="0" y="0"/>
                          <a:ext cx="466560" cy="181080"/>
                        </a:xfrm>
                        <a:prstGeom prst="ellipse">
                          <a:avLst/>
                        </a:prstGeom>
                        <a:noFill/>
                        <a:ln w="9360">
                          <a:solidFill>
                            <a:srgbClr val="ff0000"/>
                          </a:solidFill>
                          <a:round/>
                        </a:ln>
                      </wps:spPr>
                      <wps:style>
                        <a:lnRef idx="0"/>
                        <a:fillRef idx="0"/>
                        <a:effectRef idx="0"/>
                        <a:fontRef idx="minor"/>
                      </wps:style>
                      <wps:bodyPr/>
                    </wps:wsp>
                  </a:graphicData>
                </a:graphic>
              </wp:anchor>
            </w:drawing>
          </mc:Choice>
          <mc:Fallback>
            <w:pict>
              <v:oval id="shape_0" ID="Oval 2" stroked="t" style="position:absolute;margin-left:324.8pt;margin-top:48pt;width:36.7pt;height:14.2pt" wp14:anchorId="44D828D6">
                <w10:wrap type="none"/>
                <v:fill o:detectmouseclick="t" on="false"/>
                <v:stroke color="red" weight="9360" joinstyle="round" endcap="flat"/>
              </v:oval>
            </w:pict>
          </mc:Fallback>
        </mc:AlternateContent>
      </w:r>
      <w:r>
        <w:rPr/>
        <w:drawing>
          <wp:inline distT="0" distB="8255" distL="0" distR="0">
            <wp:extent cx="2427605" cy="1649095"/>
            <wp:effectExtent l="0" t="0" r="0" b="0"/>
            <wp:docPr id="5" name="Imagem 4" descr="man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manchas"/>
                    <pic:cNvPicPr>
                      <a:picLocks noChangeAspect="1" noChangeArrowheads="1"/>
                    </pic:cNvPicPr>
                  </pic:nvPicPr>
                  <pic:blipFill>
                    <a:blip r:embed="rId5"/>
                    <a:srcRect l="49260" t="49277" r="2656" b="2458"/>
                    <a:stretch>
                      <a:fillRect/>
                    </a:stretch>
                  </pic:blipFill>
                  <pic:spPr bwMode="auto">
                    <a:xfrm>
                      <a:off x="0" y="0"/>
                      <a:ext cx="2427605" cy="1649095"/>
                    </a:xfrm>
                    <a:prstGeom prst="rect">
                      <a:avLst/>
                    </a:prstGeom>
                  </pic:spPr>
                </pic:pic>
              </a:graphicData>
            </a:graphic>
          </wp:inline>
        </w:drawing>
      </w:r>
      <w:r>
        <w:rPr>
          <w:rFonts w:ascii="Times New Roman" w:hAnsi="Times New Roman"/>
          <w:iCs/>
          <w:color w:val="002060"/>
          <w:szCs w:val="24"/>
          <w:lang w:val="pt-BR"/>
        </w:rPr>
        <w:t xml:space="preserve"> </w:t>
      </w:r>
      <w:r>
        <w:rPr>
          <w:rFonts w:ascii="Times New Roman" w:hAnsi="Times New Roman"/>
          <w:color w:val="002060"/>
          <w:szCs w:val="24"/>
          <w:lang w:val="pt-BR"/>
        </w:rPr>
        <w:t xml:space="preserve"> </w:t>
      </w:r>
      <w:r>
        <w:rPr>
          <w:rFonts w:ascii="Times New Roman" w:hAnsi="Times New Roman"/>
          <w:color w:val="002060"/>
          <w:szCs w:val="24"/>
          <w:lang w:val="pt-BR"/>
        </w:rPr>
        <w:drawing>
          <wp:inline distT="0" distB="0" distL="0" distR="8255">
            <wp:extent cx="2525395" cy="1714500"/>
            <wp:effectExtent l="0" t="0" r="0" b="0"/>
            <wp:docPr id="6" name="Imagem 5" descr="man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manchas"/>
                    <pic:cNvPicPr>
                      <a:picLocks noChangeAspect="1" noChangeArrowheads="1"/>
                    </pic:cNvPicPr>
                  </pic:nvPicPr>
                  <pic:blipFill>
                    <a:blip r:embed="rId6"/>
                    <a:srcRect l="0" t="47796" r="51402" b="3425"/>
                    <a:stretch>
                      <a:fillRect/>
                    </a:stretch>
                  </pic:blipFill>
                  <pic:spPr bwMode="auto">
                    <a:xfrm>
                      <a:off x="0" y="0"/>
                      <a:ext cx="2525395" cy="1714500"/>
                    </a:xfrm>
                    <a:prstGeom prst="rect">
                      <a:avLst/>
                    </a:prstGeom>
                  </pic:spPr>
                </pic:pic>
              </a:graphicData>
            </a:graphic>
          </wp:inline>
        </w:drawing>
      </w:r>
    </w:p>
    <w:p>
      <w:pPr>
        <w:pStyle w:val="Normal"/>
        <w:jc w:val="center"/>
        <w:rPr>
          <w:rFonts w:ascii="Times New Roman" w:hAnsi="Times New Roman"/>
          <w:sz w:val="20"/>
          <w:lang w:val="pt-BR"/>
        </w:rPr>
      </w:pPr>
      <w:r>
        <w:rPr>
          <w:rFonts w:ascii="Times New Roman" w:hAnsi="Times New Roman"/>
          <w:b/>
          <w:bCs/>
          <w:sz w:val="20"/>
          <w:lang w:val="pt-BR"/>
        </w:rPr>
        <w:t xml:space="preserve">Figuras 4 e 5: </w:t>
      </w:r>
      <w:r>
        <w:rPr>
          <w:rFonts w:ascii="Times New Roman" w:hAnsi="Times New Roman"/>
          <w:sz w:val="20"/>
          <w:lang w:val="pt-BR"/>
        </w:rPr>
        <w:t xml:space="preserve">Escavação arqueológica do Sítio Piracanjuba, Piraju, SP. A coloração escura mostra a concentração de cerâmica e a presença de ter solo antropizado. </w:t>
      </w:r>
      <w:r>
        <w:rPr>
          <w:rFonts w:ascii="Times New Roman" w:hAnsi="Times New Roman"/>
          <w:b/>
          <w:bCs/>
          <w:sz w:val="20"/>
          <w:lang w:val="pt-BR"/>
        </w:rPr>
        <w:t xml:space="preserve">Fonte: </w:t>
      </w:r>
      <w:r>
        <w:rPr>
          <w:rFonts w:ascii="Times New Roman" w:hAnsi="Times New Roman"/>
          <w:sz w:val="20"/>
          <w:lang w:val="pt-BR"/>
        </w:rPr>
        <w:t>Morais (2006)</w:t>
      </w:r>
    </w:p>
    <w:p>
      <w:pPr>
        <w:pStyle w:val="Default"/>
        <w:spacing w:lineRule="auto" w:line="360"/>
        <w:jc w:val="both"/>
        <w:rPr>
          <w:rFonts w:ascii="Times New Roman" w:hAnsi="Times New Roman" w:cs="Times New Roman"/>
          <w:iCs/>
          <w:color w:val="002060"/>
          <w:sz w:val="20"/>
          <w:szCs w:val="20"/>
        </w:rPr>
      </w:pPr>
      <w:r>
        <w:rPr>
          <w:rFonts w:cs="Times New Roman" w:ascii="Times New Roman" w:hAnsi="Times New Roman"/>
          <w:iCs/>
          <w:color w:val="002060"/>
          <w:sz w:val="20"/>
          <w:szCs w:val="20"/>
        </w:rPr>
      </w:r>
    </w:p>
    <w:p>
      <w:pPr>
        <w:pStyle w:val="Default"/>
        <w:spacing w:lineRule="auto" w:line="360"/>
        <w:ind w:firstLine="720"/>
        <w:jc w:val="both"/>
        <w:rPr>
          <w:rFonts w:ascii="Times New Roman" w:hAnsi="Times New Roman" w:cs="Times New Roman"/>
          <w:color w:val="00000A"/>
          <w:sz w:val="22"/>
          <w:szCs w:val="22"/>
        </w:rPr>
      </w:pPr>
      <w:r>
        <w:rPr>
          <w:rFonts w:cs="Times New Roman" w:ascii="Times New Roman" w:hAnsi="Times New Roman"/>
          <w:iCs/>
          <w:color w:val="00000A"/>
          <w:sz w:val="22"/>
          <w:szCs w:val="22"/>
        </w:rPr>
        <w:t>N</w:t>
      </w:r>
      <w:r>
        <w:rPr>
          <w:rFonts w:cs="Times New Roman" w:ascii="Times New Roman" w:hAnsi="Times New Roman"/>
          <w:color w:val="00000A"/>
          <w:sz w:val="22"/>
          <w:szCs w:val="22"/>
        </w:rPr>
        <w:t xml:space="preserve">a área das manchas escuras, encontram-se vestígios de combustão pouco estruturados, ao redor dos quais se concentra a maior parte da cerâmica (PANACHUK; CARVALHO; JÁCOME et. al. 2010). Os materiais orgânicos de cor escura encontrados nas manchas pretas são interpretados como fundos de habitação que costumam espalhar-se por um espaço de 120 a 150 metros de diâmetro. Segundo Faccio (2011), essas manchas pretas são evidências de antigas habitações que, depois de abandonadas, deixavam no solo as marcas de seu passado. Para Noelli (1993): </w:t>
      </w:r>
    </w:p>
    <w:p>
      <w:pPr>
        <w:pStyle w:val="Default"/>
        <w:ind w:left="2880" w:hanging="0"/>
        <w:jc w:val="both"/>
        <w:rPr>
          <w:rFonts w:ascii="Times New Roman" w:hAnsi="Times New Roman" w:cs="Times New Roman"/>
          <w:color w:val="002060"/>
          <w:sz w:val="20"/>
          <w:szCs w:val="20"/>
        </w:rPr>
      </w:pPr>
      <w:r>
        <w:rPr>
          <w:rFonts w:cs="Times New Roman" w:ascii="Times New Roman" w:hAnsi="Times New Roman"/>
          <w:color w:val="002060"/>
          <w:sz w:val="20"/>
          <w:szCs w:val="20"/>
        </w:rPr>
      </w:r>
    </w:p>
    <w:p>
      <w:pPr>
        <w:pStyle w:val="Default"/>
        <w:ind w:left="2880" w:hanging="0"/>
        <w:jc w:val="both"/>
        <w:rPr>
          <w:rFonts w:ascii="Times New Roman" w:hAnsi="Times New Roman" w:cs="Times New Roman"/>
          <w:color w:val="00000A"/>
          <w:sz w:val="20"/>
          <w:szCs w:val="20"/>
        </w:rPr>
      </w:pPr>
      <w:r>
        <w:rPr>
          <w:rFonts w:cs="Times New Roman" w:ascii="Times New Roman" w:hAnsi="Times New Roman"/>
          <w:color w:val="00000A"/>
          <w:sz w:val="20"/>
          <w:szCs w:val="20"/>
        </w:rPr>
        <w:t xml:space="preserve">As “manchas pretas” podem ser caracterizadas como um contexto arqueológico bem definido no caso Guarani, podendo ser dividido em dois tipos distintos: a) estrutura de habitação; b) estruturas anexas com diversos fins, como processar alimentos (ralar, pilar, descascar, moquear, assar, cozinhar, etc, que também poderiam ocorrer nas de habitação), depositar, manufatura de objetos, lazer, etc. Essas definições estão apoiadas em informações etnográficas. (NOELLI, 1993, p. 77). </w:t>
      </w:r>
    </w:p>
    <w:p>
      <w:pPr>
        <w:pStyle w:val="Normal"/>
        <w:widowControl w:val="false"/>
        <w:spacing w:lineRule="auto" w:line="360"/>
        <w:ind w:firstLine="720"/>
        <w:jc w:val="both"/>
        <w:rPr>
          <w:rFonts w:ascii="Times New Roman" w:hAnsi="Times New Roman"/>
          <w:sz w:val="22"/>
          <w:szCs w:val="22"/>
          <w:lang w:val="pt-BR"/>
        </w:rPr>
      </w:pPr>
      <w:r>
        <w:rPr>
          <w:rFonts w:ascii="Times New Roman" w:hAnsi="Times New Roman"/>
          <w:sz w:val="22"/>
          <w:szCs w:val="22"/>
          <w:lang w:val="pt-BR"/>
        </w:rPr>
        <w:t xml:space="preserve">Morais (2006) relata que o núcleo de solo antropogênico é um tipo de macro assinatura dos povos indígenas pré-coloniais, corrente nos sítios de agricultores, também denominado como mancha preta, considerado um corpo sedimentar remanescente de antigos solos de habitação e seu cinturão envoltório, depósitos de lixo, áreas de cocção de alimentos. Surge como manchas ovaladas de solo enegrecido pelo elevado teor de materiais biogênicos coletados, processados e descartados pelas comunidades pré-coloniais, rico em evidências arqueológicas, principalmente fragmentos de cerâmica e estruturas de combustão. </w:t>
      </w:r>
    </w:p>
    <w:p>
      <w:pPr>
        <w:pStyle w:val="Normal"/>
        <w:widowControl w:val="false"/>
        <w:spacing w:lineRule="auto" w:line="360"/>
        <w:ind w:firstLine="720"/>
        <w:jc w:val="both"/>
        <w:rPr>
          <w:rFonts w:ascii="Times New Roman" w:hAnsi="Times New Roman"/>
          <w:sz w:val="22"/>
          <w:szCs w:val="22"/>
          <w:lang w:val="pt-BR"/>
        </w:rPr>
      </w:pPr>
      <w:r>
        <w:rPr>
          <w:rFonts w:ascii="Times New Roman" w:hAnsi="Times New Roman"/>
          <w:sz w:val="22"/>
          <w:szCs w:val="22"/>
          <w:lang w:val="pt-BR"/>
        </w:rPr>
        <w:t>No caso do Sítio Piracanjuba foram coletados 15.288 fragmentos cerâmicos em quatro  fundos de habitações e entornos: Núcleo de Solo Antropogênico 1 (NSA1), Núcleo de Solo Antropogênico 2 (NSA2), Núcleo de Solo Antropogênico 3 (NSA3), Núcleo de Solo Antropogênico 4 (NSA4), além de coleta de superfície e evidenciação de negativos de antigas estacas (FRANCO, 2007) (</w:t>
      </w:r>
      <w:r>
        <w:rPr>
          <w:rFonts w:ascii="Times New Roman" w:hAnsi="Times New Roman"/>
          <w:b/>
          <w:sz w:val="22"/>
          <w:szCs w:val="22"/>
          <w:lang w:val="pt-BR"/>
        </w:rPr>
        <w:t>Figura 6</w:t>
      </w:r>
      <w:r>
        <w:rPr>
          <w:rFonts w:ascii="Times New Roman" w:hAnsi="Times New Roman"/>
          <w:sz w:val="22"/>
          <w:szCs w:val="22"/>
          <w:lang w:val="pt-BR"/>
        </w:rPr>
        <w:t>).</w:t>
      </w:r>
    </w:p>
    <w:p>
      <w:pPr>
        <w:pStyle w:val="Normal"/>
        <w:widowControl w:val="false"/>
        <w:spacing w:lineRule="auto" w:line="360"/>
        <w:jc w:val="center"/>
        <w:rPr>
          <w:rFonts w:ascii="Times New Roman" w:hAnsi="Times New Roman"/>
          <w:color w:val="002060"/>
          <w:szCs w:val="24"/>
          <w:lang w:val="pt-BR"/>
        </w:rPr>
      </w:pPr>
      <w:r>
        <w:rPr/>
        <w:drawing>
          <wp:inline distT="0" distB="635" distL="0" distR="0">
            <wp:extent cx="5971540" cy="4552315"/>
            <wp:effectExtent l="0" t="0" r="0" b="0"/>
            <wp:docPr id="7" name="Imagem 11" descr="C:\Users\Larissa\Desktop\croqui mancha preta.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1" descr="C:\Users\Larissa\Desktop\croqui mancha preta. final.png"/>
                    <pic:cNvPicPr>
                      <a:picLocks noChangeAspect="1" noChangeArrowheads="1"/>
                    </pic:cNvPicPr>
                  </pic:nvPicPr>
                  <pic:blipFill>
                    <a:blip r:embed="rId7"/>
                    <a:stretch>
                      <a:fillRect/>
                    </a:stretch>
                  </pic:blipFill>
                  <pic:spPr bwMode="auto">
                    <a:xfrm>
                      <a:off x="0" y="0"/>
                      <a:ext cx="5971540" cy="4552315"/>
                    </a:xfrm>
                    <a:prstGeom prst="rect">
                      <a:avLst/>
                    </a:prstGeom>
                  </pic:spPr>
                </pic:pic>
              </a:graphicData>
            </a:graphic>
          </wp:inline>
        </w:drawing>
      </w:r>
    </w:p>
    <w:p>
      <w:pPr>
        <w:pStyle w:val="Normal"/>
        <w:widowControl w:val="false"/>
        <w:rPr>
          <w:rFonts w:ascii="Times New Roman" w:hAnsi="Times New Roman"/>
          <w:sz w:val="16"/>
          <w:szCs w:val="16"/>
          <w:lang w:val="pt-BR"/>
        </w:rPr>
      </w:pPr>
      <w:r>
        <w:rPr>
          <w:rFonts w:ascii="Times New Roman" w:hAnsi="Times New Roman"/>
          <w:b/>
          <w:color w:val="002060"/>
          <w:sz w:val="20"/>
          <w:lang w:val="pt-BR"/>
        </w:rPr>
        <w:t xml:space="preserve"> </w:t>
      </w:r>
      <w:r>
        <w:rPr>
          <w:rFonts w:ascii="Times New Roman" w:hAnsi="Times New Roman"/>
          <w:b/>
          <w:sz w:val="16"/>
          <w:szCs w:val="16"/>
          <w:lang w:val="pt-BR"/>
        </w:rPr>
        <w:t>Figura 6:</w:t>
      </w:r>
      <w:r>
        <w:rPr>
          <w:rFonts w:ascii="Times New Roman" w:hAnsi="Times New Roman"/>
          <w:sz w:val="16"/>
          <w:szCs w:val="16"/>
          <w:lang w:val="pt-BR"/>
        </w:rPr>
        <w:t xml:space="preserve"> Representação das manchas pretas, intervenções realizadas e dispersão dos fragmentos cerâmicos do Sítio Arqueológico Piracanjuba.</w:t>
      </w:r>
    </w:p>
    <w:p>
      <w:pPr>
        <w:pStyle w:val="Normal"/>
        <w:widowControl w:val="false"/>
        <w:rPr>
          <w:rFonts w:ascii="Times New Roman" w:hAnsi="Times New Roman"/>
          <w:sz w:val="16"/>
          <w:szCs w:val="16"/>
          <w:lang w:val="pt-BR"/>
        </w:rPr>
      </w:pPr>
      <w:r>
        <w:rPr>
          <w:rFonts w:ascii="Times New Roman" w:hAnsi="Times New Roman"/>
          <w:sz w:val="16"/>
          <w:szCs w:val="16"/>
          <w:lang w:val="pt-BR"/>
        </w:rPr>
      </w:r>
    </w:p>
    <w:p>
      <w:pPr>
        <w:pStyle w:val="Normal"/>
        <w:widowControl w:val="false"/>
        <w:spacing w:lineRule="auto" w:line="360"/>
        <w:ind w:firstLine="708"/>
        <w:jc w:val="both"/>
        <w:rPr>
          <w:sz w:val="22"/>
          <w:szCs w:val="22"/>
          <w:lang w:val="pt-BR"/>
        </w:rPr>
      </w:pPr>
      <w:r>
        <w:rPr>
          <w:sz w:val="22"/>
          <w:szCs w:val="22"/>
          <w:lang w:val="pt-BR"/>
        </w:rPr>
        <w:t>O padrão de assentamento e a utilização da matéria-prima mostra que esses grupos habitavam áreas com poucas reservas litológicas aptas ao lascamento, pois tinham interesse e necessidade de confeccionar utensílios de cerâmica, o que os levou à procura de depósitos de argilas plásticas. Em alguns casos, porém, podem existir evidencias de sítios arqueológicos próximos aos fundos de vale próximo a cascalheiras aproveitáveis para a indústria lítica.</w:t>
      </w:r>
    </w:p>
    <w:p>
      <w:pPr>
        <w:pStyle w:val="Normal"/>
        <w:widowControl w:val="false"/>
        <w:spacing w:lineRule="auto" w:line="276"/>
        <w:ind w:firstLine="708"/>
        <w:jc w:val="both"/>
        <w:rPr>
          <w:color w:val="002060"/>
          <w:szCs w:val="24"/>
          <w:lang w:val="pt-BR"/>
        </w:rPr>
      </w:pPr>
      <w:r>
        <w:rPr>
          <w:color w:val="002060"/>
          <w:szCs w:val="24"/>
          <w:lang w:val="pt-BR"/>
        </w:rPr>
      </w:r>
    </w:p>
    <w:p>
      <w:pPr>
        <w:pStyle w:val="Normal"/>
        <w:tabs>
          <w:tab w:val="left" w:pos="7501" w:leader="none"/>
        </w:tabs>
        <w:ind w:left="2880" w:hanging="0"/>
        <w:jc w:val="both"/>
        <w:rPr>
          <w:sz w:val="20"/>
          <w:lang w:val="pt-BR"/>
        </w:rPr>
      </w:pPr>
      <w:r>
        <w:rPr>
          <w:sz w:val="20"/>
          <w:lang w:val="pt-BR"/>
        </w:rPr>
        <w:t>No caso, o fator arqueológico é verificado indiretamente, através da correlação e da interdigitação dos dados pré-históricos, topomorfológicos, geológicos e geomorfológicos, tais como: o reconhecimento dos afloramentos que serviram de fonte de matéria-prima para as populações pré-históricas, a identificação dos compartimentos favoráveis ao assentamento bem como a estreita dependência do assentamento em relação à fonte de matéria-prima. (MORAIS, 1986, p. 57)</w:t>
      </w:r>
    </w:p>
    <w:p>
      <w:pPr>
        <w:pStyle w:val="Normal"/>
        <w:tabs>
          <w:tab w:val="left" w:pos="7501" w:leader="none"/>
        </w:tabs>
        <w:ind w:left="2880" w:hanging="0"/>
        <w:jc w:val="both"/>
        <w:rPr>
          <w:color w:val="002060"/>
          <w:sz w:val="22"/>
          <w:szCs w:val="22"/>
          <w:lang w:val="pt-BR"/>
        </w:rPr>
      </w:pPr>
      <w:r>
        <w:rPr>
          <w:color w:val="002060"/>
          <w:sz w:val="22"/>
          <w:szCs w:val="22"/>
          <w:lang w:val="pt-BR"/>
        </w:rPr>
      </w:r>
    </w:p>
    <w:p>
      <w:pPr>
        <w:pStyle w:val="Normal"/>
        <w:tabs>
          <w:tab w:val="left" w:pos="7501" w:leader="none"/>
        </w:tabs>
        <w:ind w:left="2880" w:hanging="0"/>
        <w:jc w:val="both"/>
        <w:rPr>
          <w:rFonts w:ascii="Times New Roman" w:hAnsi="Times New Roman"/>
          <w:color w:val="002060"/>
          <w:sz w:val="22"/>
          <w:szCs w:val="22"/>
          <w:lang w:val="pt-BR"/>
        </w:rPr>
      </w:pPr>
      <w:r>
        <w:rPr>
          <w:rFonts w:ascii="Times New Roman" w:hAnsi="Times New Roman"/>
          <w:color w:val="002060"/>
          <w:sz w:val="22"/>
          <w:szCs w:val="22"/>
          <w:lang w:val="pt-BR"/>
        </w:rPr>
      </w:r>
    </w:p>
    <w:p>
      <w:pPr>
        <w:pStyle w:val="Normal"/>
        <w:spacing w:lineRule="auto" w:line="360"/>
        <w:ind w:firstLine="720"/>
        <w:jc w:val="both"/>
        <w:rPr>
          <w:sz w:val="22"/>
          <w:szCs w:val="22"/>
          <w:lang w:val="pt-PT"/>
        </w:rPr>
      </w:pPr>
      <w:r>
        <w:rPr>
          <w:rFonts w:ascii="Times New Roman" w:hAnsi="Times New Roman"/>
          <w:sz w:val="22"/>
          <w:szCs w:val="22"/>
          <w:lang w:val="pt-PT"/>
        </w:rPr>
        <w:t xml:space="preserve">A paisagem do Sítio Arqueológico Piracanjuba mostra que o ambiente está diretamente subordinado à ação do Rio Paranapanema, em cujo trecho a bacia é caracterizada por canal meândrico, </w:t>
      </w:r>
      <w:r>
        <w:rPr>
          <w:rFonts w:ascii="Times New Roman" w:hAnsi="Times New Roman"/>
          <w:sz w:val="22"/>
          <w:szCs w:val="22"/>
          <w:shd w:fill="FFFFFF" w:val="clear"/>
          <w:lang w:val="pt-BR"/>
        </w:rPr>
        <w:t>marcado pela alta sinuosidade. A localização do sítio arqueológico na paisagem mostra que sua população ocupou a área de topo de colina e média alta vertente, próxima ao curso do Rio Paranapanema (</w:t>
      </w:r>
      <w:r>
        <w:rPr>
          <w:rFonts w:ascii="Times New Roman" w:hAnsi="Times New Roman"/>
          <w:b/>
          <w:sz w:val="22"/>
          <w:szCs w:val="22"/>
          <w:shd w:fill="FFFFFF" w:val="clear"/>
          <w:lang w:val="pt-BR"/>
        </w:rPr>
        <w:t>Figura7</w:t>
      </w:r>
      <w:r>
        <w:rPr>
          <w:rFonts w:ascii="Times New Roman" w:hAnsi="Times New Roman"/>
          <w:sz w:val="22"/>
          <w:szCs w:val="22"/>
          <w:shd w:fill="FFFFFF" w:val="clear"/>
          <w:lang w:val="pt-BR"/>
        </w:rPr>
        <w:t>).</w:t>
      </w:r>
    </w:p>
    <w:p>
      <w:pPr>
        <w:pStyle w:val="Normal"/>
        <w:jc w:val="center"/>
        <w:rPr>
          <w:color w:val="002060"/>
          <w:szCs w:val="24"/>
          <w:lang w:val="pt-PT"/>
        </w:rPr>
      </w:pPr>
      <w:r>
        <w:rPr/>
        <mc:AlternateContent>
          <mc:Choice Requires="wps">
            <w:drawing>
              <wp:inline distT="0" distB="0" distL="0" distR="0">
                <wp:extent cx="4933950" cy="4296410"/>
                <wp:effectExtent l="0" t="0" r="0" b="0"/>
                <wp:docPr id="8"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8"/>
                        <a:stretch/>
                      </pic:blipFill>
                      <pic:spPr>
                        <a:xfrm>
                          <a:off x="0" y="0"/>
                          <a:ext cx="4933440" cy="4295880"/>
                        </a:xfrm>
                        <a:prstGeom prst="rect">
                          <a:avLst/>
                        </a:prstGeom>
                        <a:ln>
                          <a:noFill/>
                        </a:ln>
                      </pic:spPr>
                    </pic:pic>
                  </a:graphicData>
                </a:graphic>
              </wp:inline>
            </w:drawing>
          </mc:Choice>
          <mc:Fallback>
            <w:pict>
              <v:rect id="shape_0" stroked="f" style="position:absolute;margin-left:0pt;margin-top:-338.3pt;width:388.4pt;height:338.2pt;mso-position-vertical:top">
                <v:imagedata r:id="rId8" o:detectmouseclick="t"/>
                <w10:wrap type="none"/>
                <v:stroke color="#3465a4" joinstyle="round" endcap="flat"/>
              </v:rect>
            </w:pict>
          </mc:Fallback>
        </mc:AlternateContent>
      </w:r>
    </w:p>
    <w:p>
      <w:pPr>
        <w:pStyle w:val="Normal"/>
        <w:spacing w:lineRule="auto" w:line="360"/>
        <w:ind w:firstLine="360"/>
        <w:jc w:val="center"/>
        <w:rPr>
          <w:rFonts w:ascii="Times New Roman" w:hAnsi="Times New Roman"/>
          <w:sz w:val="18"/>
          <w:szCs w:val="18"/>
          <w:highlight w:val="white"/>
          <w:lang w:val="pt-BR"/>
        </w:rPr>
      </w:pPr>
      <w:r>
        <w:rPr>
          <w:rFonts w:ascii="Times New Roman" w:hAnsi="Times New Roman"/>
          <w:b/>
          <w:sz w:val="18"/>
          <w:szCs w:val="18"/>
          <w:shd w:fill="FFFFFF" w:val="clear"/>
          <w:lang w:val="pt-BR"/>
        </w:rPr>
        <w:t>Figura 7:</w:t>
      </w:r>
      <w:r>
        <w:rPr>
          <w:rFonts w:ascii="Times New Roman" w:hAnsi="Times New Roman"/>
          <w:sz w:val="18"/>
          <w:szCs w:val="18"/>
          <w:shd w:fill="FFFFFF" w:val="clear"/>
          <w:lang w:val="pt-BR"/>
        </w:rPr>
        <w:t xml:space="preserve"> Perfil topográfico do sítio e a localização das manchas pretas.</w:t>
      </w:r>
    </w:p>
    <w:p>
      <w:pPr>
        <w:pStyle w:val="Normal"/>
        <w:ind w:firstLine="360"/>
        <w:jc w:val="center"/>
        <w:rPr>
          <w:rFonts w:ascii="Times New Roman" w:hAnsi="Times New Roman"/>
          <w:sz w:val="18"/>
          <w:szCs w:val="18"/>
          <w:shd w:fill="FFFFFF" w:val="clear"/>
          <w:lang w:val="pt-BR"/>
        </w:rPr>
      </w:pPr>
      <w:r>
        <w:rPr>
          <w:rFonts w:ascii="Times New Roman" w:hAnsi="Times New Roman"/>
          <w:sz w:val="18"/>
          <w:szCs w:val="18"/>
          <w:shd w:fill="FFFFFF" w:val="clear"/>
          <w:lang w:val="pt-BR"/>
        </w:rPr>
      </w:r>
    </w:p>
    <w:p>
      <w:pPr>
        <w:pStyle w:val="Normal"/>
        <w:spacing w:lineRule="auto" w:line="360"/>
        <w:ind w:firstLine="720"/>
        <w:jc w:val="both"/>
        <w:rPr>
          <w:sz w:val="22"/>
          <w:szCs w:val="22"/>
          <w:lang w:val="pt-BR"/>
        </w:rPr>
      </w:pPr>
      <w:r>
        <w:rPr>
          <w:sz w:val="22"/>
          <w:szCs w:val="22"/>
          <w:lang w:val="pt-BR"/>
        </w:rPr>
        <w:t xml:space="preserve">A localização do sítio arqueológico no topo </w:t>
      </w:r>
      <w:r>
        <w:rPr>
          <w:rFonts w:ascii="Times New Roman" w:hAnsi="Times New Roman"/>
          <w:sz w:val="22"/>
          <w:szCs w:val="22"/>
          <w:shd w:fill="FFFFFF" w:val="clear"/>
          <w:lang w:val="pt-BR"/>
        </w:rPr>
        <w:t xml:space="preserve">e média alta vertente </w:t>
      </w:r>
      <w:r>
        <w:rPr>
          <w:sz w:val="22"/>
          <w:szCs w:val="22"/>
          <w:lang w:val="pt-BR"/>
        </w:rPr>
        <w:t>da colina faz-nos levantar a hipótese de que no assentamento guarani foi desenvolvida a agricultura, pelo fato de haver grande concentração de fragmentos cerâmicos dispersos no perímetro do sítio. Outro fator é sua visibilidade em direção ao Rio Paranapanema, estratégia de proteção, caso invasores se aproximassem da aldeia.</w:t>
      </w:r>
    </w:p>
    <w:p>
      <w:pPr>
        <w:pStyle w:val="Normal"/>
        <w:spacing w:lineRule="auto" w:line="360"/>
        <w:ind w:firstLine="360"/>
        <w:jc w:val="both"/>
        <w:rPr>
          <w:rFonts w:ascii="Times New Roman" w:hAnsi="Times New Roman"/>
          <w:sz w:val="22"/>
          <w:szCs w:val="22"/>
          <w:highlight w:val="white"/>
          <w:lang w:val="pt-BR"/>
        </w:rPr>
      </w:pPr>
      <w:r>
        <w:rPr>
          <w:sz w:val="22"/>
          <w:szCs w:val="22"/>
          <w:lang w:val="pt-BR"/>
        </w:rPr>
        <w:t xml:space="preserve">  </w:t>
      </w:r>
      <w:r>
        <w:rPr>
          <w:sz w:val="22"/>
          <w:szCs w:val="22"/>
          <w:lang w:val="pt-BR"/>
        </w:rPr>
        <w:tab/>
        <w:t>Os guaranis promoviam manejo ambiental para fins de coleta e agricultura; a ligação entre o solo e vegetação era fundamental para sua subsistência, pois o tekoá</w:t>
      </w:r>
      <w:r>
        <w:rPr>
          <w:rStyle w:val="Ncoradanotaderodap"/>
          <w:sz w:val="22"/>
          <w:szCs w:val="22"/>
          <w:lang w:val="pt-BR"/>
        </w:rPr>
        <w:footnoteReference w:id="4"/>
      </w:r>
      <w:r>
        <w:rPr>
          <w:sz w:val="22"/>
          <w:szCs w:val="22"/>
          <w:lang w:val="pt-BR"/>
        </w:rPr>
        <w:t xml:space="preserve"> era organizado por três espaços distintos: a vegetação circundante, as roças e a aldeia (NOELLI, 1993). </w:t>
      </w:r>
      <w:r>
        <w:rPr>
          <w:rFonts w:ascii="Times New Roman" w:hAnsi="Times New Roman"/>
          <w:sz w:val="22"/>
          <w:szCs w:val="22"/>
          <w:lang w:val="pt-PT"/>
        </w:rPr>
        <w:t xml:space="preserve">As </w:t>
      </w:r>
      <w:r>
        <w:rPr>
          <w:rFonts w:ascii="Times New Roman" w:hAnsi="Times New Roman"/>
          <w:sz w:val="22"/>
          <w:szCs w:val="22"/>
          <w:lang w:val="pt-BR"/>
        </w:rPr>
        <w:t xml:space="preserve">características físico-geográficas dessa região facilitaram a ocupação do grupo Guarani, pois “no vale do rio Paranapanema, cortado por frequentes cachoeiras, os sítios se agregam nas imediações desses acidentes, que funcionam como ótimas armadilhas para peixes, facilitando a pesca” (PROUS, 1992, p. 376).  </w:t>
      </w:r>
    </w:p>
    <w:p>
      <w:pPr>
        <w:pStyle w:val="Normal"/>
        <w:spacing w:lineRule="auto" w:line="360"/>
        <w:ind w:firstLine="720"/>
        <w:jc w:val="both"/>
        <w:rPr>
          <w:sz w:val="22"/>
          <w:szCs w:val="22"/>
          <w:lang w:val="pt-PT"/>
        </w:rPr>
      </w:pPr>
      <w:r>
        <w:rPr>
          <w:sz w:val="22"/>
          <w:szCs w:val="22"/>
          <w:lang w:val="pt-PT"/>
        </w:rPr>
        <w:t>A unidade da morfologia de superfície apresenta topos de interflúvios planos a convexos (superfícies de derrames basálticos com expressivas capas eluviais), as vertentes são concâvas e convexas, com extensa exposição de basalto e arenitos silicificados associados aos complexos de rampa de colúvio; nos fundos de vale os depósitos quartenários areno-argilosos são resultantes de barramentos locais e/ou terraços aluviais com contribuições superficiais (às vezes interdigitadas) de colúvios não estratificados (compartimento favorável). (MORAIS, 1986)</w:t>
      </w:r>
    </w:p>
    <w:p>
      <w:pPr>
        <w:pStyle w:val="Normal"/>
        <w:spacing w:lineRule="auto" w:line="360"/>
        <w:ind w:firstLine="720"/>
        <w:jc w:val="both"/>
        <w:rPr>
          <w:sz w:val="22"/>
          <w:szCs w:val="22"/>
          <w:lang w:val="pt-PT"/>
        </w:rPr>
      </w:pPr>
      <w:r>
        <w:rPr>
          <w:sz w:val="22"/>
          <w:szCs w:val="22"/>
          <w:lang w:val="pt-PT"/>
        </w:rPr>
        <w:t xml:space="preserve">A </w:t>
      </w:r>
      <w:r>
        <w:rPr>
          <w:rFonts w:ascii="Times New Roman" w:hAnsi="Times New Roman"/>
          <w:sz w:val="22"/>
          <w:szCs w:val="22"/>
          <w:lang w:val="pt-BR"/>
        </w:rPr>
        <w:t xml:space="preserve">morfologia e a litologia do Rio Paranapanema condicionaram a forma de apropriação do espaço geográfico. A mesorregião denominada Província das Cuestas Basálticas, área onde o Sítio Arqueológico Piracanjuba está situado apresenta </w:t>
      </w:r>
      <w:r>
        <w:rPr>
          <w:sz w:val="22"/>
          <w:szCs w:val="22"/>
          <w:lang w:val="pt-BR"/>
        </w:rPr>
        <w:t>terraços ou superfícies inclinadas de depósitos colúvio-aluviais de baixa vertente, além de afloramentos de arenito intra-trapp. No âmbito da bacia, a província encontra-se balizada ao sul, pelas escarpas da Serra da Fartura, a leste corre o Rio Taquari e a oeste, o Rio Itararé. (MORAIS, 1986)</w:t>
      </w:r>
    </w:p>
    <w:p>
      <w:pPr>
        <w:pStyle w:val="Normal"/>
        <w:widowControl w:val="false"/>
        <w:spacing w:lineRule="auto" w:line="360"/>
        <w:ind w:firstLine="720"/>
        <w:jc w:val="both"/>
        <w:rPr>
          <w:sz w:val="22"/>
          <w:szCs w:val="22"/>
          <w:lang w:val="pt-BR"/>
        </w:rPr>
      </w:pPr>
      <w:r>
        <w:rPr>
          <w:sz w:val="22"/>
          <w:szCs w:val="22"/>
          <w:lang w:val="pt-BR"/>
        </w:rPr>
        <w:t xml:space="preserve">Segundo Morais (1986), está região apresenta a </w:t>
      </w:r>
      <w:r>
        <w:rPr>
          <w:rFonts w:ascii="Times New Roman" w:hAnsi="Times New Roman"/>
          <w:sz w:val="22"/>
          <w:szCs w:val="22"/>
          <w:lang w:val="pt-BR"/>
        </w:rPr>
        <w:t xml:space="preserve">predominância de sítios líticos ocupados entre 1.000 </w:t>
      </w:r>
      <w:r>
        <w:rPr>
          <w:sz w:val="22"/>
          <w:szCs w:val="22"/>
          <w:lang w:val="pt-BR"/>
        </w:rPr>
        <w:t>e 7.000 anos antes do presente, com intenso aproveitamento dos arenitos silicificados como matéria-prima para a fabricação de artefatos de uso cotidiano. A região também teve a ocupação de sítios de grupos ceramistas, como é o caso do Sítio Arqueológico Piracanjuba.</w:t>
      </w:r>
    </w:p>
    <w:p>
      <w:pPr>
        <w:pStyle w:val="Normal"/>
        <w:widowControl w:val="false"/>
        <w:spacing w:lineRule="auto" w:line="360"/>
        <w:ind w:firstLine="708"/>
        <w:jc w:val="both"/>
        <w:rPr>
          <w:rFonts w:ascii="Times New Roman" w:hAnsi="Times New Roman"/>
          <w:sz w:val="22"/>
          <w:szCs w:val="22"/>
          <w:lang w:val="pt-BR"/>
        </w:rPr>
      </w:pPr>
      <w:r>
        <w:rPr>
          <w:rFonts w:ascii="Times New Roman" w:hAnsi="Times New Roman"/>
          <w:sz w:val="22"/>
          <w:szCs w:val="22"/>
          <w:lang w:val="pt-BR"/>
        </w:rPr>
        <w:t>Segundo Prous (1992), quando uma aldeia tem mais de três unidades residenciais, essas tendem a agrupar-se ao redor de uma “praça central”; no entanto, por vezes, duas casas vizinhas podem estar deslocadas para fora do círculo. Desse modo, verifica-se uma divisão do espaço em unidades distintas, enfatizadas pelos vestígios arqueológicos, como é o caso do Sítio Arqueológico Piracanjuba, principalmente pela concentração de vestígios no NSA 2 e 3.</w:t>
      </w:r>
    </w:p>
    <w:p>
      <w:pPr>
        <w:pStyle w:val="Normal"/>
        <w:widowControl w:val="false"/>
        <w:spacing w:lineRule="auto" w:line="360"/>
        <w:ind w:firstLine="708"/>
        <w:jc w:val="both"/>
        <w:rPr>
          <w:rFonts w:ascii="Times New Roman" w:hAnsi="Times New Roman"/>
          <w:sz w:val="22"/>
          <w:szCs w:val="22"/>
          <w:lang w:val="pt-BR"/>
        </w:rPr>
      </w:pPr>
      <w:r>
        <w:rPr>
          <w:rFonts w:ascii="Times New Roman" w:hAnsi="Times New Roman"/>
          <w:sz w:val="22"/>
          <w:szCs w:val="22"/>
          <w:lang w:val="pt-BR"/>
        </w:rPr>
        <w:t xml:space="preserve">A datação dos fragmentos cerâmicos mostra indícios de reocupação, pois no </w:t>
      </w:r>
      <w:r>
        <w:rPr>
          <w:rFonts w:ascii="Times New Roman" w:hAnsi="Times New Roman"/>
          <w:sz w:val="22"/>
          <w:szCs w:val="22"/>
          <w:lang w:val="pt-BR" w:eastAsia="pt-BR"/>
        </w:rPr>
        <w:t>NSA1 a datação realizada em 2000 e a do NSA2 em 2004 apontam para os anos</w:t>
      </w:r>
      <w:r>
        <w:rPr>
          <w:rFonts w:ascii="Times New Roman" w:hAnsi="Times New Roman"/>
          <w:sz w:val="22"/>
          <w:szCs w:val="22"/>
          <w:lang w:val="pt-BR"/>
        </w:rPr>
        <w:t xml:space="preserve"> </w:t>
      </w:r>
      <w:r>
        <w:rPr>
          <w:rFonts w:ascii="Times New Roman" w:hAnsi="Times New Roman"/>
          <w:sz w:val="22"/>
          <w:szCs w:val="22"/>
          <w:lang w:val="pt-BR" w:eastAsia="pt-BR"/>
        </w:rPr>
        <w:t xml:space="preserve">de 1520 d.C. e 1355 d.C., respectivamente, haja vista, que isso ocorre pela expansão e </w:t>
      </w:r>
      <w:r>
        <w:rPr>
          <w:rFonts w:ascii="Times New Roman" w:hAnsi="Times New Roman"/>
          <w:sz w:val="22"/>
          <w:szCs w:val="22"/>
          <w:lang w:val="pt-BR"/>
        </w:rPr>
        <w:t xml:space="preserve">superdimensionamento da população na área do assentamento. Outro caso são os materiais líticos, encontrados no NSA 3, de peças como estilhas, lascas e núcleos confeccionados sobre seixos de silexito, provavelmente oriundos de cascalheiras do rio Paranapanema. </w:t>
      </w:r>
    </w:p>
    <w:p>
      <w:pPr>
        <w:pStyle w:val="Normal"/>
        <w:tabs>
          <w:tab w:val="left" w:pos="7501" w:leader="none"/>
        </w:tabs>
        <w:rPr>
          <w:rFonts w:ascii="Times New Roman" w:hAnsi="Times New Roman"/>
          <w:b/>
          <w:b/>
          <w:sz w:val="22"/>
          <w:szCs w:val="22"/>
          <w:lang w:val="pt-BR"/>
        </w:rPr>
      </w:pPr>
      <w:r>
        <w:rPr>
          <w:rFonts w:ascii="Times New Roman" w:hAnsi="Times New Roman"/>
          <w:b/>
          <w:sz w:val="22"/>
          <w:szCs w:val="22"/>
          <w:lang w:val="pt-BR"/>
        </w:rPr>
      </w:r>
    </w:p>
    <w:p>
      <w:pPr>
        <w:pStyle w:val="Normal"/>
        <w:tabs>
          <w:tab w:val="left" w:pos="7501" w:leader="none"/>
        </w:tabs>
        <w:rPr>
          <w:rFonts w:ascii="Times New Roman" w:hAnsi="Times New Roman"/>
          <w:b/>
          <w:b/>
          <w:sz w:val="22"/>
          <w:szCs w:val="22"/>
          <w:lang w:val="pt-BR"/>
        </w:rPr>
      </w:pPr>
      <w:r>
        <w:rPr>
          <w:rFonts w:ascii="Times New Roman" w:hAnsi="Times New Roman"/>
          <w:b/>
          <w:sz w:val="22"/>
          <w:szCs w:val="22"/>
          <w:lang w:val="pt-BR"/>
        </w:rPr>
      </w:r>
    </w:p>
    <w:p>
      <w:pPr>
        <w:pStyle w:val="Normal"/>
        <w:tabs>
          <w:tab w:val="left" w:pos="7501" w:leader="none"/>
        </w:tabs>
        <w:rPr>
          <w:rFonts w:ascii="Times New Roman" w:hAnsi="Times New Roman"/>
          <w:b/>
          <w:b/>
          <w:sz w:val="22"/>
          <w:szCs w:val="22"/>
          <w:lang w:val="pt-BR"/>
        </w:rPr>
      </w:pPr>
      <w:r>
        <w:rPr>
          <w:rFonts w:ascii="Times New Roman" w:hAnsi="Times New Roman"/>
          <w:b/>
          <w:sz w:val="22"/>
          <w:szCs w:val="22"/>
          <w:lang w:val="pt-BR"/>
        </w:rPr>
      </w:r>
    </w:p>
    <w:p>
      <w:pPr>
        <w:pStyle w:val="Normal"/>
        <w:tabs>
          <w:tab w:val="left" w:pos="7501" w:leader="none"/>
        </w:tabs>
        <w:rPr>
          <w:rFonts w:ascii="Times New Roman" w:hAnsi="Times New Roman"/>
          <w:b/>
          <w:b/>
          <w:sz w:val="22"/>
          <w:szCs w:val="22"/>
          <w:lang w:val="pt-BR"/>
        </w:rPr>
      </w:pPr>
      <w:r>
        <w:rPr>
          <w:rFonts w:ascii="Times New Roman" w:hAnsi="Times New Roman"/>
          <w:b/>
          <w:sz w:val="22"/>
          <w:szCs w:val="22"/>
          <w:lang w:val="pt-BR"/>
        </w:rPr>
        <w:t>CONSIDERAÇÕES FINAIS</w:t>
      </w:r>
    </w:p>
    <w:p>
      <w:pPr>
        <w:pStyle w:val="Normal"/>
        <w:tabs>
          <w:tab w:val="left" w:pos="7501" w:leader="none"/>
        </w:tabs>
        <w:rPr>
          <w:rFonts w:ascii="Times New Roman" w:hAnsi="Times New Roman"/>
          <w:b/>
          <w:b/>
          <w:szCs w:val="24"/>
          <w:lang w:val="pt-BR"/>
        </w:rPr>
      </w:pPr>
      <w:r>
        <w:rPr>
          <w:rFonts w:ascii="Times New Roman" w:hAnsi="Times New Roman"/>
          <w:b/>
          <w:szCs w:val="24"/>
          <w:lang w:val="pt-BR"/>
        </w:rPr>
      </w:r>
    </w:p>
    <w:p>
      <w:pPr>
        <w:pStyle w:val="Normal"/>
        <w:spacing w:lineRule="auto" w:line="360"/>
        <w:ind w:firstLine="708"/>
        <w:jc w:val="both"/>
        <w:rPr>
          <w:rFonts w:ascii="Times New Roman" w:hAnsi="Times New Roman"/>
          <w:sz w:val="22"/>
          <w:szCs w:val="22"/>
          <w:lang w:val="pt-BR"/>
        </w:rPr>
      </w:pPr>
      <w:r>
        <w:rPr>
          <w:rFonts w:ascii="Times New Roman" w:hAnsi="Times New Roman"/>
          <w:sz w:val="22"/>
          <w:szCs w:val="22"/>
          <w:lang w:val="pt-BR"/>
        </w:rPr>
        <w:t>A interdisciplinaridade da Geografia e Arqueologia, sobretudo das Ciências denominadas da Terra “Geomorfologia e Geologia”, contribuem para interpretação de transformações da paisagem, principalmente de antigas habitações indígenas que deixaram no solo a marca do passado e de seus vestígios arqueológicos.</w:t>
      </w:r>
    </w:p>
    <w:p>
      <w:pPr>
        <w:pStyle w:val="Normal"/>
        <w:spacing w:lineRule="auto" w:line="360"/>
        <w:ind w:firstLine="708"/>
        <w:jc w:val="both"/>
        <w:rPr>
          <w:rFonts w:ascii="Times New Roman" w:hAnsi="Times New Roman"/>
          <w:sz w:val="22"/>
          <w:szCs w:val="22"/>
          <w:lang w:val="pt-PT"/>
        </w:rPr>
      </w:pPr>
      <w:r>
        <w:rPr>
          <w:rFonts w:ascii="Times New Roman" w:hAnsi="Times New Roman"/>
          <w:sz w:val="22"/>
          <w:szCs w:val="22"/>
          <w:lang w:val="pt-BR"/>
        </w:rPr>
        <w:t xml:space="preserve">A </w:t>
      </w:r>
      <w:r>
        <w:rPr>
          <w:sz w:val="22"/>
          <w:szCs w:val="22"/>
          <w:lang w:val="pt-BR"/>
        </w:rPr>
        <w:t>análise da paisagem por meio da metodologia de Geoarqueologia permitiu interpretar a relação existente entre a localização do sítio arqueológico, distribuição dos vestígios arqueológicos e padrão de assentamento guarani na área do Sistema de ocupação indígena da área do Médio Paranapanema, lado paulista. Assim, a discussão do padrão de assentamento do grupo guarani e a descrição da morfologia do relevo na região Piraju foram fundamentais para tal análise.</w:t>
      </w:r>
    </w:p>
    <w:p>
      <w:pPr>
        <w:pStyle w:val="Normal"/>
        <w:spacing w:lineRule="auto" w:line="360"/>
        <w:ind w:firstLine="708"/>
        <w:jc w:val="both"/>
        <w:rPr>
          <w:sz w:val="22"/>
          <w:szCs w:val="22"/>
          <w:lang w:val="pt-BR"/>
        </w:rPr>
      </w:pPr>
      <w:r>
        <w:rPr>
          <w:rFonts w:ascii="Times New Roman" w:hAnsi="Times New Roman"/>
          <w:sz w:val="22"/>
          <w:szCs w:val="22"/>
          <w:lang w:val="pt-BR"/>
        </w:rPr>
        <w:t>A datação dos fragmentos cerâmicos mostraram indícios de reocupação, pois no núcleo de solo antropogênico (</w:t>
      </w:r>
      <w:r>
        <w:rPr>
          <w:rFonts w:ascii="Times New Roman" w:hAnsi="Times New Roman"/>
          <w:sz w:val="22"/>
          <w:szCs w:val="22"/>
          <w:lang w:val="pt-BR" w:eastAsia="pt-BR"/>
        </w:rPr>
        <w:t xml:space="preserve">NSA1) e </w:t>
      </w:r>
      <w:r>
        <w:rPr>
          <w:rFonts w:ascii="Times New Roman" w:hAnsi="Times New Roman"/>
          <w:sz w:val="22"/>
          <w:szCs w:val="22"/>
          <w:lang w:val="pt-BR"/>
        </w:rPr>
        <w:t>núcleo de solo antropogênico</w:t>
      </w:r>
      <w:r>
        <w:rPr>
          <w:rFonts w:ascii="Times New Roman" w:hAnsi="Times New Roman"/>
          <w:sz w:val="22"/>
          <w:szCs w:val="22"/>
          <w:lang w:val="pt-BR" w:eastAsia="pt-BR"/>
        </w:rPr>
        <w:t xml:space="preserve"> (NSA2) do sítio arqueológico analisado em tela, apontam para os anos</w:t>
      </w:r>
      <w:r>
        <w:rPr>
          <w:rFonts w:ascii="Times New Roman" w:hAnsi="Times New Roman"/>
          <w:sz w:val="22"/>
          <w:szCs w:val="22"/>
          <w:lang w:val="pt-BR"/>
        </w:rPr>
        <w:t xml:space="preserve"> </w:t>
      </w:r>
      <w:r>
        <w:rPr>
          <w:rFonts w:ascii="Times New Roman" w:hAnsi="Times New Roman"/>
          <w:sz w:val="22"/>
          <w:szCs w:val="22"/>
          <w:lang w:val="pt-BR" w:eastAsia="pt-BR"/>
        </w:rPr>
        <w:t xml:space="preserve">de 1520 d.C. e 1355 d.C. respectivamente, ocorrendo uma disparidade. Diante disso, levantamos </w:t>
      </w:r>
      <w:r>
        <w:rPr>
          <w:sz w:val="22"/>
          <w:szCs w:val="22"/>
          <w:lang w:val="pt-BR"/>
        </w:rPr>
        <w:t xml:space="preserve">a hipótese de que o grupo guarani que habitou sítio arqueológico estudado em tela, em tempos pretéritos, desenvolvia o manejo de agricultura, pelo fato da grande concentração de fragmentos cerâmicos dispersos no perímetro do sítio e sua localização (topo </w:t>
      </w:r>
      <w:r>
        <w:rPr>
          <w:rFonts w:ascii="Times New Roman" w:hAnsi="Times New Roman"/>
          <w:sz w:val="22"/>
          <w:szCs w:val="22"/>
          <w:shd w:fill="FFFFFF" w:val="clear"/>
          <w:lang w:val="pt-BR"/>
        </w:rPr>
        <w:t xml:space="preserve">e média alta vertente </w:t>
      </w:r>
      <w:r>
        <w:rPr>
          <w:sz w:val="22"/>
          <w:szCs w:val="22"/>
          <w:lang w:val="pt-BR"/>
        </w:rPr>
        <w:t>da colina), o que nos leva à hipótese de reocupação.</w:t>
      </w:r>
    </w:p>
    <w:p>
      <w:pPr>
        <w:pStyle w:val="Normal"/>
        <w:jc w:val="both"/>
        <w:rPr>
          <w:rFonts w:ascii="Times New Roman" w:hAnsi="Times New Roman"/>
          <w:color w:val="002060"/>
          <w:szCs w:val="24"/>
          <w:lang w:val="pt-BR"/>
        </w:rPr>
      </w:pPr>
      <w:r>
        <w:rPr>
          <w:rFonts w:ascii="Times New Roman" w:hAnsi="Times New Roman"/>
          <w:color w:val="002060"/>
          <w:szCs w:val="24"/>
          <w:lang w:val="pt-BR"/>
        </w:rPr>
      </w:r>
    </w:p>
    <w:p>
      <w:pPr>
        <w:pStyle w:val="Normal"/>
        <w:rPr>
          <w:b/>
          <w:b/>
          <w:sz w:val="22"/>
          <w:szCs w:val="22"/>
          <w:lang w:val="pt-PT"/>
        </w:rPr>
      </w:pPr>
      <w:r>
        <w:rPr>
          <w:b/>
          <w:sz w:val="22"/>
          <w:szCs w:val="22"/>
          <w:lang w:val="pt-PT"/>
        </w:rPr>
        <w:t>REFERÊNCIAS</w:t>
      </w:r>
    </w:p>
    <w:p>
      <w:pPr>
        <w:pStyle w:val="Normal"/>
        <w:rPr>
          <w:b/>
          <w:b/>
          <w:sz w:val="22"/>
          <w:szCs w:val="22"/>
          <w:lang w:val="pt-PT"/>
        </w:rPr>
      </w:pPr>
      <w:r>
        <w:rPr>
          <w:b/>
          <w:sz w:val="22"/>
          <w:szCs w:val="22"/>
          <w:lang w:val="pt-PT"/>
        </w:rPr>
      </w:r>
    </w:p>
    <w:p>
      <w:pPr>
        <w:pStyle w:val="Normal"/>
        <w:jc w:val="both"/>
        <w:rPr>
          <w:rFonts w:ascii="Times New Roman" w:hAnsi="Times New Roman"/>
          <w:sz w:val="20"/>
          <w:lang w:val="pt-BR"/>
        </w:rPr>
      </w:pPr>
      <w:r>
        <w:rPr>
          <w:rFonts w:ascii="Times New Roman" w:hAnsi="Times New Roman"/>
          <w:sz w:val="20"/>
          <w:lang w:val="pt-BR"/>
        </w:rPr>
        <w:t xml:space="preserve">AB’SABER, A. N. Uma revisão do quaternário paulista: do presente para o passado. </w:t>
      </w:r>
      <w:r>
        <w:rPr>
          <w:rFonts w:ascii="Times New Roman" w:hAnsi="Times New Roman"/>
          <w:b/>
          <w:bCs/>
          <w:sz w:val="20"/>
          <w:lang w:val="pt-BR"/>
        </w:rPr>
        <w:t>Revista Brás de Geografia</w:t>
      </w:r>
      <w:r>
        <w:rPr>
          <w:rFonts w:ascii="Times New Roman" w:hAnsi="Times New Roman"/>
          <w:sz w:val="20"/>
          <w:lang w:val="pt-BR"/>
        </w:rPr>
        <w:t>, 1969, p. 1-50.</w:t>
      </w:r>
    </w:p>
    <w:p>
      <w:pPr>
        <w:pStyle w:val="Normal"/>
        <w:rPr>
          <w:b/>
          <w:b/>
          <w:sz w:val="20"/>
          <w:lang w:val="pt-PT"/>
        </w:rPr>
      </w:pPr>
      <w:r>
        <w:rPr>
          <w:b/>
          <w:sz w:val="20"/>
          <w:lang w:val="pt-PT"/>
        </w:rPr>
      </w:r>
    </w:p>
    <w:p>
      <w:pPr>
        <w:pStyle w:val="Normal"/>
        <w:jc w:val="both"/>
        <w:rPr>
          <w:sz w:val="20"/>
          <w:lang w:val="pt-PT"/>
        </w:rPr>
      </w:pPr>
      <w:r>
        <w:rPr>
          <w:sz w:val="20"/>
          <w:lang w:val="pt-PT"/>
        </w:rPr>
        <w:t>ANGELUCCI, D.E. A partir da terra: a contribuição da geoarqueologia. In MATEUS, J.; MORENO-GARCÍA, M., eds. - Paleoecologia humana e arqueociências: um programa multidisciplinar para a arqueologia sob a tutela da cultura. Lisboa: Instituto Português de Arqueologia (Trabalhos de Arqueologia;29), p. 35-84, 2003</w:t>
      </w:r>
      <w:r>
        <w:rPr>
          <w:b/>
          <w:sz w:val="20"/>
          <w:lang w:val="pt-PT"/>
        </w:rPr>
        <w:t>.</w:t>
      </w:r>
    </w:p>
    <w:p>
      <w:pPr>
        <w:pStyle w:val="Normal"/>
        <w:rPr>
          <w:b/>
          <w:b/>
          <w:sz w:val="20"/>
          <w:lang w:val="pt-PT"/>
        </w:rPr>
      </w:pPr>
      <w:r>
        <w:rPr>
          <w:b/>
          <w:sz w:val="20"/>
          <w:lang w:val="pt-PT"/>
        </w:rPr>
      </w:r>
    </w:p>
    <w:p>
      <w:pPr>
        <w:pStyle w:val="Normal"/>
        <w:jc w:val="both"/>
        <w:rPr>
          <w:rFonts w:ascii="Times New Roman" w:hAnsi="Times New Roman"/>
          <w:sz w:val="20"/>
          <w:lang w:val="pt-BR"/>
        </w:rPr>
      </w:pPr>
      <w:r>
        <w:rPr>
          <w:rFonts w:ascii="Times New Roman" w:hAnsi="Times New Roman"/>
          <w:bCs/>
          <w:sz w:val="20"/>
          <w:lang w:val="pt-BR"/>
        </w:rPr>
        <w:t>BERTRAND; BERTRAND.</w:t>
      </w:r>
      <w:r>
        <w:rPr>
          <w:rFonts w:ascii="Times New Roman" w:hAnsi="Times New Roman"/>
          <w:b/>
          <w:bCs/>
          <w:sz w:val="20"/>
          <w:lang w:val="pt-BR"/>
        </w:rPr>
        <w:t xml:space="preserve"> Uma Geografia Transversal e de Travessias: </w:t>
      </w:r>
      <w:r>
        <w:rPr>
          <w:rFonts w:ascii="Times New Roman" w:hAnsi="Times New Roman"/>
          <w:sz w:val="20"/>
          <w:lang w:val="pt-BR"/>
        </w:rPr>
        <w:t>o meio ambiente através dos territórios e das temporalidades. Editora Massoni, Maringá, PR, 2009.</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lang w:val="es-CO"/>
        </w:rPr>
      </w:pPr>
      <w:r>
        <w:rPr>
          <w:rFonts w:ascii="Times New Roman" w:hAnsi="Times New Roman"/>
          <w:sz w:val="20"/>
          <w:lang w:val="es-CO"/>
        </w:rPr>
        <w:t xml:space="preserve">BOADO, F. C.; RODRIGUEZ, B. N.; LANDIN, D. C.; VÁZQUEZ, M. D. et al. </w:t>
      </w:r>
      <w:r>
        <w:rPr>
          <w:rFonts w:ascii="Times New Roman" w:hAnsi="Times New Roman"/>
          <w:b/>
          <w:sz w:val="20"/>
          <w:lang w:val="es-CO"/>
        </w:rPr>
        <w:t>Arqueología del Paisaje.</w:t>
      </w:r>
      <w:r>
        <w:rPr>
          <w:rFonts w:ascii="Times New Roman" w:hAnsi="Times New Roman"/>
          <w:sz w:val="20"/>
          <w:lang w:val="es-CO"/>
        </w:rPr>
        <w:t xml:space="preserve"> El área Bocelo-Furelos entre los tiempos Paleolíticos y Medievales (Campañas de 1987, 1988 y 1989), vol. 6, 1991, p. 35.</w:t>
      </w:r>
    </w:p>
    <w:p>
      <w:pPr>
        <w:pStyle w:val="Normal"/>
        <w:jc w:val="both"/>
        <w:rPr>
          <w:rFonts w:ascii="Times New Roman" w:hAnsi="Times New Roman"/>
          <w:sz w:val="20"/>
          <w:lang w:val="es-CO"/>
        </w:rPr>
      </w:pPr>
      <w:r>
        <w:rPr>
          <w:rFonts w:ascii="Times New Roman" w:hAnsi="Times New Roman"/>
          <w:sz w:val="20"/>
          <w:lang w:val="es-CO"/>
        </w:rPr>
      </w:r>
    </w:p>
    <w:p>
      <w:pPr>
        <w:pStyle w:val="Normal"/>
        <w:jc w:val="both"/>
        <w:rPr>
          <w:rFonts w:ascii="Times New Roman" w:hAnsi="Times New Roman" w:eastAsia="Calibri"/>
          <w:bCs/>
          <w:sz w:val="20"/>
        </w:rPr>
      </w:pPr>
      <w:r>
        <w:rPr>
          <w:rFonts w:eastAsia="Calibri" w:ascii="Times New Roman" w:hAnsi="Times New Roman"/>
          <w:sz w:val="20"/>
        </w:rPr>
        <w:t>BUTZER, K. W</w:t>
      </w:r>
      <w:r>
        <w:rPr>
          <w:rFonts w:eastAsia="Calibri" w:ascii="Times New Roman" w:hAnsi="Times New Roman"/>
          <w:b/>
          <w:sz w:val="20"/>
        </w:rPr>
        <w:t xml:space="preserve">. </w:t>
      </w:r>
      <w:r>
        <w:rPr>
          <w:rFonts w:eastAsia="Calibri" w:ascii="Times New Roman" w:hAnsi="Times New Roman"/>
          <w:b/>
          <w:bCs/>
          <w:sz w:val="20"/>
        </w:rPr>
        <w:t>Archaeology as human ecology</w:t>
      </w:r>
      <w:r>
        <w:rPr>
          <w:rFonts w:eastAsia="Calibri" w:ascii="Times New Roman" w:hAnsi="Times New Roman"/>
          <w:bCs/>
          <w:sz w:val="20"/>
        </w:rPr>
        <w:t>: Method and theory for a contextual approach, 1982, p. 1-348.</w:t>
      </w:r>
    </w:p>
    <w:p>
      <w:pPr>
        <w:pStyle w:val="Normal"/>
        <w:jc w:val="both"/>
        <w:rPr>
          <w:b/>
          <w:b/>
          <w:sz w:val="20"/>
          <w:lang w:val="es-CO"/>
        </w:rPr>
      </w:pPr>
      <w:r>
        <w:rPr>
          <w:b/>
          <w:sz w:val="20"/>
          <w:lang w:val="es-CO"/>
        </w:rPr>
      </w:r>
    </w:p>
    <w:p>
      <w:pPr>
        <w:pStyle w:val="Normal"/>
        <w:jc w:val="both"/>
        <w:rPr>
          <w:b/>
          <w:b/>
          <w:sz w:val="20"/>
          <w:lang w:val="es-CO"/>
        </w:rPr>
      </w:pPr>
      <w:r>
        <w:rPr>
          <w:sz w:val="20"/>
        </w:rPr>
        <w:t>CARR, C. The Nature of O rganization of Intrasite Archaeological Records and Spatial Analytic Approaches to their Investigation. Advances in Archaeological Method and Theory, 7 New York, 1984, Academic Press: 103-222.</w:t>
      </w:r>
    </w:p>
    <w:p>
      <w:pPr>
        <w:pStyle w:val="Normal"/>
        <w:rPr>
          <w:b/>
          <w:b/>
          <w:sz w:val="20"/>
          <w:lang w:val="es-CO"/>
        </w:rPr>
      </w:pPr>
      <w:r>
        <w:rPr>
          <w:b/>
          <w:sz w:val="20"/>
          <w:lang w:val="es-CO"/>
        </w:rPr>
      </w:r>
    </w:p>
    <w:p>
      <w:pPr>
        <w:pStyle w:val="Normal"/>
        <w:jc w:val="both"/>
        <w:rPr>
          <w:rFonts w:ascii="Times New Roman" w:hAnsi="Times New Roman"/>
          <w:sz w:val="20"/>
          <w:lang w:val="pt-BR"/>
        </w:rPr>
      </w:pPr>
      <w:r>
        <w:rPr>
          <w:rFonts w:ascii="Times New Roman" w:hAnsi="Times New Roman"/>
          <w:sz w:val="20"/>
          <w:lang w:val="pt-BR"/>
        </w:rPr>
        <w:t xml:space="preserve">CASSETI, V. A natureza e o espaço geográfico. </w:t>
      </w:r>
      <w:r>
        <w:rPr>
          <w:rFonts w:ascii="Times New Roman" w:hAnsi="Times New Roman"/>
          <w:sz w:val="20"/>
        </w:rPr>
        <w:t xml:space="preserve">In: MENDONÇA, F. A.; KOZEL, S. (Org.). </w:t>
      </w:r>
      <w:r>
        <w:rPr>
          <w:rFonts w:ascii="Times New Roman" w:hAnsi="Times New Roman"/>
          <w:b/>
          <w:sz w:val="20"/>
          <w:lang w:val="pt-BR"/>
        </w:rPr>
        <w:t>Elementos de Epistemologia da Geografia Contemporânea</w:t>
      </w:r>
      <w:r>
        <w:rPr>
          <w:rFonts w:ascii="Times New Roman" w:hAnsi="Times New Roman"/>
          <w:sz w:val="20"/>
          <w:lang w:val="pt-BR"/>
        </w:rPr>
        <w:t>. Curitiba - PR: Editora UFPR, p. 145-163, 2009.</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rPr>
      </w:pPr>
      <w:r>
        <w:rPr>
          <w:rFonts w:ascii="Times New Roman" w:hAnsi="Times New Roman"/>
          <w:sz w:val="20"/>
          <w:lang w:val="pt-BR"/>
        </w:rPr>
        <w:t xml:space="preserve">CLAVAL, P. </w:t>
      </w:r>
      <w:r>
        <w:rPr>
          <w:rFonts w:ascii="Times New Roman" w:hAnsi="Times New Roman"/>
          <w:b/>
          <w:sz w:val="20"/>
          <w:lang w:val="pt-BR"/>
        </w:rPr>
        <w:t>Epistemologia da Geografia</w:t>
      </w:r>
      <w:r>
        <w:rPr>
          <w:rFonts w:ascii="Times New Roman" w:hAnsi="Times New Roman"/>
          <w:sz w:val="20"/>
          <w:lang w:val="pt-BR"/>
        </w:rPr>
        <w:t xml:space="preserve">. </w:t>
      </w:r>
      <w:r>
        <w:rPr>
          <w:rFonts w:ascii="Times New Roman" w:hAnsi="Times New Roman"/>
          <w:sz w:val="20"/>
        </w:rPr>
        <w:t>Florianópolis: Editora. UFSC, 2014.</w:t>
      </w:r>
    </w:p>
    <w:p>
      <w:pPr>
        <w:pStyle w:val="Normal"/>
        <w:jc w:val="both"/>
        <w:rPr>
          <w:rFonts w:ascii="Times New Roman" w:hAnsi="Times New Roman"/>
          <w:sz w:val="20"/>
        </w:rPr>
      </w:pPr>
      <w:r>
        <w:rPr>
          <w:rFonts w:ascii="Times New Roman" w:hAnsi="Times New Roman"/>
          <w:sz w:val="20"/>
        </w:rPr>
      </w:r>
    </w:p>
    <w:p>
      <w:pPr>
        <w:pStyle w:val="Normal"/>
        <w:rPr>
          <w:sz w:val="20"/>
        </w:rPr>
      </w:pPr>
      <w:r>
        <w:rPr>
          <w:sz w:val="20"/>
        </w:rPr>
        <w:t xml:space="preserve">GLADFELTER, B.G. </w:t>
      </w:r>
      <w:r>
        <w:rPr>
          <w:b/>
          <w:sz w:val="20"/>
        </w:rPr>
        <w:t>Geoarchaeology:</w:t>
      </w:r>
      <w:r>
        <w:rPr>
          <w:sz w:val="20"/>
        </w:rPr>
        <w:t xml:space="preserve"> The Geomorphologist and Archaeology. American Antiquity, 42 (4): 519-538, 1977.</w:t>
      </w:r>
    </w:p>
    <w:p>
      <w:pPr>
        <w:pStyle w:val="Normal"/>
        <w:rPr>
          <w:sz w:val="20"/>
        </w:rPr>
      </w:pPr>
      <w:r>
        <w:rPr>
          <w:sz w:val="20"/>
        </w:rPr>
      </w:r>
    </w:p>
    <w:p>
      <w:pPr>
        <w:pStyle w:val="Normal"/>
        <w:rPr>
          <w:sz w:val="20"/>
        </w:rPr>
      </w:pPr>
      <w:r>
        <w:rPr>
          <w:sz w:val="20"/>
        </w:rPr>
      </w:r>
    </w:p>
    <w:p>
      <w:pPr>
        <w:pStyle w:val="Normal"/>
        <w:jc w:val="both"/>
        <w:rPr>
          <w:sz w:val="20"/>
        </w:rPr>
      </w:pPr>
      <w:r>
        <w:rPr>
          <w:sz w:val="20"/>
        </w:rPr>
        <w:t>GLADFELTER, B. G.(1981) - Developments and Directions in Geoarchaeology. In SCHIFFER, M.B., ed. - Advances in Archaeological Method and Theory, 4, p. 343-364.</w:t>
      </w:r>
    </w:p>
    <w:p>
      <w:pPr>
        <w:pStyle w:val="Normal"/>
        <w:rPr>
          <w:b/>
          <w:b/>
          <w:sz w:val="20"/>
          <w:lang w:val="es-CO"/>
        </w:rPr>
      </w:pPr>
      <w:r>
        <w:rPr>
          <w:b/>
          <w:sz w:val="20"/>
          <w:lang w:val="es-CO"/>
        </w:rPr>
      </w:r>
    </w:p>
    <w:p>
      <w:pPr>
        <w:pStyle w:val="Normal"/>
        <w:rPr>
          <w:b/>
          <w:b/>
          <w:sz w:val="20"/>
          <w:lang w:val="es-CO"/>
        </w:rPr>
      </w:pPr>
      <w:r>
        <w:rPr>
          <w:b/>
          <w:sz w:val="20"/>
          <w:lang w:val="es-CO"/>
        </w:rPr>
      </w:r>
    </w:p>
    <w:p>
      <w:pPr>
        <w:pStyle w:val="Normal"/>
        <w:jc w:val="both"/>
        <w:rPr>
          <w:rFonts w:ascii="Times New Roman" w:hAnsi="Times New Roman"/>
          <w:sz w:val="20"/>
          <w:lang w:val="pt-BR"/>
        </w:rPr>
      </w:pPr>
      <w:r>
        <w:rPr>
          <w:rFonts w:ascii="Times New Roman" w:hAnsi="Times New Roman"/>
          <w:sz w:val="20"/>
          <w:lang w:val="pt-BR"/>
        </w:rPr>
        <w:t>GONZALEZ, M. M. B.; PIEDADE, S. C.; MORAIS, J. L. Arqueofauna do Sítio Piracanjuba,</w:t>
      </w:r>
      <w:r>
        <w:rPr>
          <w:rFonts w:ascii="Times New Roman" w:hAnsi="Times New Roman"/>
          <w:b/>
          <w:sz w:val="20"/>
          <w:lang w:val="pt-BR"/>
        </w:rPr>
        <w:t xml:space="preserve"> </w:t>
      </w:r>
      <w:r>
        <w:rPr>
          <w:rFonts w:ascii="Times New Roman" w:hAnsi="Times New Roman"/>
          <w:sz w:val="20"/>
          <w:lang w:val="pt-BR"/>
        </w:rPr>
        <w:t xml:space="preserve">Piraju-SP. </w:t>
      </w:r>
      <w:r>
        <w:rPr>
          <w:rFonts w:ascii="Times New Roman" w:hAnsi="Times New Roman"/>
          <w:b/>
          <w:sz w:val="20"/>
          <w:lang w:val="pt-BR"/>
        </w:rPr>
        <w:t>Revista do Museu de Arqueologia e Etnologia</w:t>
      </w:r>
      <w:r>
        <w:rPr>
          <w:rFonts w:ascii="Times New Roman" w:hAnsi="Times New Roman"/>
          <w:sz w:val="20"/>
          <w:lang w:val="pt-BR"/>
        </w:rPr>
        <w:t>, São Paulo 17:231-249, 2007.</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rPr>
      </w:pPr>
      <w:r>
        <w:rPr>
          <w:rFonts w:ascii="Times New Roman" w:hAnsi="Times New Roman"/>
          <w:sz w:val="20"/>
          <w:lang w:val="pt-BR"/>
        </w:rPr>
        <w:t xml:space="preserve">HASSAN, F. </w:t>
      </w:r>
      <w:r>
        <w:rPr>
          <w:rFonts w:ascii="Times New Roman" w:hAnsi="Times New Roman"/>
          <w:b/>
          <w:sz w:val="20"/>
          <w:lang w:val="pt-BR"/>
        </w:rPr>
        <w:t>Geoarchaeology:</w:t>
      </w:r>
      <w:r>
        <w:rPr>
          <w:rFonts w:ascii="Times New Roman" w:hAnsi="Times New Roman"/>
          <w:sz w:val="20"/>
          <w:lang w:val="pt-BR"/>
        </w:rPr>
        <w:t xml:space="preserve"> The Geologist and Archaeology. </w:t>
      </w:r>
      <w:r>
        <w:rPr>
          <w:rFonts w:ascii="Times New Roman" w:hAnsi="Times New Roman"/>
          <w:sz w:val="20"/>
        </w:rPr>
        <w:t>Source: American Antiquity, vol. 44, nº. 2, 1979, p. 267-270.</w:t>
      </w:r>
    </w:p>
    <w:p>
      <w:pPr>
        <w:pStyle w:val="Normal"/>
        <w:jc w:val="both"/>
        <w:rPr>
          <w:rFonts w:ascii="Times New Roman" w:hAnsi="Times New Roman"/>
          <w:sz w:val="20"/>
        </w:rPr>
      </w:pPr>
      <w:r>
        <w:rPr>
          <w:rFonts w:ascii="Times New Roman" w:hAnsi="Times New Roman"/>
          <w:sz w:val="20"/>
        </w:rPr>
      </w:r>
    </w:p>
    <w:p>
      <w:pPr>
        <w:pStyle w:val="Normal"/>
        <w:jc w:val="both"/>
        <w:rPr>
          <w:rFonts w:ascii="Times New Roman" w:hAnsi="Times New Roman"/>
          <w:sz w:val="20"/>
          <w:lang w:val="pt-BR"/>
        </w:rPr>
      </w:pPr>
      <w:r>
        <w:rPr>
          <w:rFonts w:ascii="Times New Roman" w:hAnsi="Times New Roman"/>
          <w:sz w:val="20"/>
          <w:lang w:val="pt-BR"/>
        </w:rPr>
        <w:t xml:space="preserve">FACCIO, N. B. </w:t>
      </w:r>
      <w:r>
        <w:rPr>
          <w:rFonts w:ascii="Times New Roman" w:hAnsi="Times New Roman"/>
          <w:b/>
          <w:sz w:val="20"/>
          <w:lang w:val="pt-BR"/>
        </w:rPr>
        <w:t xml:space="preserve">Arqueologia Guarani na Área do Projeto Paranapanema: </w:t>
      </w:r>
      <w:r>
        <w:rPr>
          <w:rFonts w:ascii="Times New Roman" w:hAnsi="Times New Roman"/>
          <w:sz w:val="20"/>
          <w:lang w:val="pt-BR"/>
        </w:rPr>
        <w:t>estudo dos sítios de Iepê, SP. Volume I. Tese de Livre Docência – Museu de Arqueologia e Etnografia, Programa de Pós-Graduação em Arqueologia – Universidade de São Paulo, São Paulo, 2011.</w:t>
      </w:r>
    </w:p>
    <w:p>
      <w:pPr>
        <w:pStyle w:val="Normal"/>
        <w:rPr>
          <w:b/>
          <w:b/>
          <w:sz w:val="20"/>
          <w:lang w:val="es-CO"/>
        </w:rPr>
      </w:pPr>
      <w:r>
        <w:rPr>
          <w:b/>
          <w:sz w:val="20"/>
          <w:lang w:val="es-CO"/>
        </w:rPr>
      </w:r>
    </w:p>
    <w:p>
      <w:pPr>
        <w:pStyle w:val="Normal"/>
        <w:jc w:val="both"/>
        <w:rPr>
          <w:rFonts w:ascii="Times New Roman" w:hAnsi="Times New Roman"/>
          <w:sz w:val="20"/>
          <w:lang w:val="pt-BR"/>
        </w:rPr>
      </w:pPr>
      <w:r>
        <w:rPr>
          <w:rFonts w:ascii="Times New Roman" w:hAnsi="Times New Roman"/>
          <w:sz w:val="20"/>
          <w:lang w:val="pt-BR"/>
        </w:rPr>
        <w:t xml:space="preserve">FRANCO, C. </w:t>
      </w:r>
      <w:r>
        <w:rPr>
          <w:rFonts w:ascii="Times New Roman" w:hAnsi="Times New Roman"/>
          <w:b/>
          <w:sz w:val="20"/>
          <w:lang w:val="pt-BR"/>
        </w:rPr>
        <w:t>Visão sistêmica do Sítio Arqueológico Piracanjuba:</w:t>
      </w:r>
      <w:r>
        <w:rPr>
          <w:rFonts w:ascii="Times New Roman" w:hAnsi="Times New Roman"/>
          <w:sz w:val="20"/>
          <w:lang w:val="pt-BR"/>
        </w:rPr>
        <w:t xml:space="preserve"> a descoberta de conhecimento em sítios arqueológicos. Tese de Doutorado, UNESP/FCT- Campus de Presidente Prudente, Presidente Prudente, 2007, p. 14.</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lang w:val="pt-BR"/>
        </w:rPr>
      </w:pPr>
      <w:r>
        <w:rPr>
          <w:rFonts w:ascii="Times New Roman" w:hAnsi="Times New Roman"/>
          <w:sz w:val="20"/>
          <w:lang w:val="pt-BR"/>
        </w:rPr>
        <w:t xml:space="preserve">MORAIS, J. L. A Propósito da Interdisciplinaridade em Arqueologia. </w:t>
      </w:r>
      <w:r>
        <w:rPr>
          <w:rFonts w:ascii="Times New Roman" w:hAnsi="Times New Roman"/>
          <w:b/>
          <w:bCs/>
          <w:sz w:val="20"/>
          <w:lang w:val="pt-BR"/>
        </w:rPr>
        <w:t>Revista do Museu Paulista</w:t>
      </w:r>
      <w:r>
        <w:rPr>
          <w:rFonts w:ascii="Times New Roman" w:hAnsi="Times New Roman"/>
          <w:sz w:val="20"/>
          <w:lang w:val="pt-BR"/>
        </w:rPr>
        <w:t xml:space="preserve">, Editora da Universidade de São Paulo, São Paulo, v. XXXII, p. 155, 1986. </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lang w:val="pt-BR"/>
        </w:rPr>
      </w:pPr>
      <w:r>
        <w:rPr>
          <w:rFonts w:ascii="Times New Roman" w:hAnsi="Times New Roman"/>
          <w:sz w:val="20"/>
          <w:lang w:val="pt-BR"/>
        </w:rPr>
        <w:t xml:space="preserve">______. </w:t>
      </w:r>
      <w:r>
        <w:rPr>
          <w:rFonts w:ascii="Times New Roman" w:hAnsi="Times New Roman"/>
          <w:b/>
          <w:bCs/>
          <w:sz w:val="20"/>
          <w:lang w:val="pt-BR"/>
        </w:rPr>
        <w:t>Plano cartográfico do Projeto Paranapanema</w:t>
      </w:r>
      <w:r>
        <w:rPr>
          <w:rFonts w:ascii="Times New Roman" w:hAnsi="Times New Roman"/>
          <w:sz w:val="20"/>
          <w:lang w:val="pt-BR"/>
        </w:rPr>
        <w:t xml:space="preserve">, São Paulo, 1995. </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lang w:val="pt-BR"/>
        </w:rPr>
      </w:pPr>
      <w:r>
        <w:rPr>
          <w:rFonts w:ascii="Times New Roman" w:hAnsi="Times New Roman"/>
          <w:sz w:val="20"/>
          <w:lang w:val="pt-BR"/>
        </w:rPr>
        <w:t>______. Tópicos de Arqueologia da Paisagem</w:t>
      </w:r>
      <w:r>
        <w:rPr>
          <w:rFonts w:ascii="Times New Roman" w:hAnsi="Times New Roman"/>
          <w:b/>
          <w:sz w:val="20"/>
          <w:lang w:val="pt-BR"/>
        </w:rPr>
        <w:t>. Revista do Museu de Arqueologia e Etnologia</w:t>
      </w:r>
      <w:r>
        <w:rPr>
          <w:rFonts w:ascii="Times New Roman" w:hAnsi="Times New Roman"/>
          <w:sz w:val="20"/>
          <w:lang w:val="pt-BR"/>
        </w:rPr>
        <w:t>, São Paulo,</w:t>
      </w:r>
      <w:r>
        <w:rPr>
          <w:rFonts w:ascii="Times New Roman" w:hAnsi="Times New Roman"/>
          <w:b/>
          <w:sz w:val="20"/>
          <w:lang w:val="pt-BR"/>
        </w:rPr>
        <w:t xml:space="preserve"> </w:t>
      </w:r>
      <w:r>
        <w:rPr>
          <w:rFonts w:ascii="Times New Roman" w:hAnsi="Times New Roman"/>
          <w:sz w:val="20"/>
          <w:lang w:val="pt-BR"/>
        </w:rPr>
        <w:t xml:space="preserve">2000, 10:3-30. </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lang w:val="pt-BR"/>
        </w:rPr>
      </w:pPr>
      <w:r>
        <w:rPr>
          <w:rFonts w:ascii="Times New Roman" w:hAnsi="Times New Roman"/>
          <w:sz w:val="20"/>
          <w:lang w:val="pt-BR"/>
        </w:rPr>
        <w:t xml:space="preserve">______. Arqueologia da Região Sudeste. </w:t>
      </w:r>
      <w:r>
        <w:rPr>
          <w:rFonts w:ascii="Times New Roman" w:hAnsi="Times New Roman"/>
          <w:b/>
          <w:bCs/>
          <w:sz w:val="20"/>
          <w:lang w:val="pt-BR"/>
        </w:rPr>
        <w:t>Revista da USP</w:t>
      </w:r>
      <w:r>
        <w:rPr>
          <w:rFonts w:ascii="Times New Roman" w:hAnsi="Times New Roman"/>
          <w:sz w:val="20"/>
          <w:lang w:val="pt-BR"/>
        </w:rPr>
        <w:t>, n. 44, 194-217, 1999/2000.</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lang w:val="pt-BR"/>
        </w:rPr>
      </w:pPr>
      <w:r>
        <w:rPr>
          <w:rFonts w:ascii="Times New Roman" w:hAnsi="Times New Roman"/>
          <w:sz w:val="20"/>
          <w:lang w:val="pt-BR"/>
        </w:rPr>
        <w:t xml:space="preserve">NOELLI, Francisco Silva. </w:t>
      </w:r>
      <w:r>
        <w:rPr>
          <w:rFonts w:ascii="Times New Roman" w:hAnsi="Times New Roman"/>
          <w:b/>
          <w:bCs/>
          <w:sz w:val="20"/>
          <w:lang w:val="pt-BR"/>
        </w:rPr>
        <w:t xml:space="preserve">Sem Tekoha não há Tekó: </w:t>
      </w:r>
      <w:r>
        <w:rPr>
          <w:rFonts w:ascii="Times New Roman" w:hAnsi="Times New Roman"/>
          <w:sz w:val="20"/>
          <w:lang w:val="pt-BR"/>
        </w:rPr>
        <w:t>em busca de um Modelo Etnoarqueológico da Aldeia e da Subsistência Guarani e sua aplicação a uma área de domínio no Delta do Jacuí – RS. Porto Alegre. Dissertação de Mestrado PUC-RS, 1993.</w:t>
      </w:r>
    </w:p>
    <w:p>
      <w:pPr>
        <w:pStyle w:val="Normal"/>
        <w:jc w:val="both"/>
        <w:rPr>
          <w:rFonts w:ascii="Times New Roman" w:hAnsi="Times New Roman"/>
          <w:sz w:val="20"/>
          <w:lang w:val="pt-BR"/>
        </w:rPr>
      </w:pPr>
      <w:r>
        <w:rPr>
          <w:rFonts w:ascii="Times New Roman" w:hAnsi="Times New Roman"/>
          <w:sz w:val="20"/>
          <w:lang w:val="pt-BR"/>
        </w:rPr>
      </w:r>
    </w:p>
    <w:p>
      <w:pPr>
        <w:pStyle w:val="Normal"/>
        <w:spacing w:before="0" w:after="240"/>
        <w:jc w:val="both"/>
        <w:rPr>
          <w:rFonts w:ascii="Times New Roman" w:hAnsi="Times New Roman"/>
          <w:sz w:val="20"/>
          <w:lang w:val="pt-BR"/>
        </w:rPr>
      </w:pPr>
      <w:r>
        <w:rPr>
          <w:rFonts w:ascii="Times New Roman" w:hAnsi="Times New Roman"/>
          <w:sz w:val="20"/>
          <w:lang w:val="pt-BR"/>
        </w:rPr>
        <w:t xml:space="preserve">PASSOS, M. M. </w:t>
      </w:r>
      <w:r>
        <w:rPr>
          <w:rFonts w:ascii="Times New Roman" w:hAnsi="Times New Roman"/>
          <w:b/>
          <w:iCs/>
          <w:sz w:val="20"/>
          <w:lang w:val="pt-BR"/>
        </w:rPr>
        <w:t xml:space="preserve">A Raia Divisória: </w:t>
      </w:r>
      <w:r>
        <w:rPr>
          <w:rFonts w:ascii="Times New Roman" w:hAnsi="Times New Roman"/>
          <w:iCs/>
          <w:sz w:val="20"/>
          <w:lang w:val="pt-BR"/>
        </w:rPr>
        <w:t>geossistema, paisagem e eco-história</w:t>
      </w:r>
      <w:r>
        <w:rPr>
          <w:rFonts w:ascii="Times New Roman" w:hAnsi="Times New Roman"/>
          <w:sz w:val="20"/>
          <w:lang w:val="pt-BR"/>
        </w:rPr>
        <w:t>. Maringá: Eduem, 2006.</w:t>
      </w:r>
    </w:p>
    <w:p>
      <w:pPr>
        <w:pStyle w:val="Normal"/>
        <w:jc w:val="both"/>
        <w:rPr>
          <w:rFonts w:ascii="Times New Roman" w:hAnsi="Times New Roman"/>
          <w:sz w:val="20"/>
          <w:lang w:val="pt-BR"/>
        </w:rPr>
      </w:pPr>
      <w:r>
        <w:rPr>
          <w:rFonts w:ascii="Times New Roman" w:hAnsi="Times New Roman"/>
          <w:sz w:val="20"/>
          <w:lang w:val="pt-BR"/>
        </w:rPr>
        <w:t>PASSOS, M. M.</w:t>
      </w:r>
      <w:r>
        <w:rPr>
          <w:rFonts w:ascii="Times New Roman" w:hAnsi="Times New Roman"/>
          <w:b/>
          <w:bCs/>
          <w:sz w:val="20"/>
          <w:lang w:val="pt-BR"/>
        </w:rPr>
        <w:t xml:space="preserve"> Biogeografia e Paisagem</w:t>
      </w:r>
      <w:r>
        <w:rPr>
          <w:rFonts w:ascii="Times New Roman" w:hAnsi="Times New Roman"/>
          <w:sz w:val="20"/>
          <w:lang w:val="pt-BR"/>
        </w:rPr>
        <w:t xml:space="preserve">. 2ª ed. </w:t>
      </w:r>
      <w:r>
        <w:rPr>
          <w:rFonts w:ascii="Times New Roman" w:hAnsi="Times New Roman"/>
          <w:sz w:val="20"/>
          <w:lang w:val="es-CO"/>
        </w:rPr>
        <w:t xml:space="preserve">Presidente Prudente: UNESP – PPGE, 2ª. </w:t>
      </w:r>
      <w:r>
        <w:rPr>
          <w:rFonts w:ascii="Times New Roman" w:hAnsi="Times New Roman"/>
          <w:sz w:val="20"/>
          <w:lang w:val="pt-BR"/>
        </w:rPr>
        <w:t>Edição, 2003.</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lang w:val="pt-BR"/>
        </w:rPr>
      </w:pPr>
      <w:r>
        <w:rPr>
          <w:rFonts w:ascii="Times New Roman" w:hAnsi="Times New Roman"/>
          <w:sz w:val="20"/>
          <w:lang w:val="pt-BR"/>
        </w:rPr>
        <w:t xml:space="preserve">PANACHUK, L.; CARVALHO, A.; JÁCOME, C.; et. al. Reflexões sobre as aldeias Tupiguarani: apontamentos metodológicos. </w:t>
      </w:r>
      <w:r>
        <w:rPr>
          <w:rFonts w:ascii="Times New Roman" w:hAnsi="Times New Roman"/>
          <w:bCs/>
          <w:sz w:val="20"/>
          <w:lang w:val="pt-BR"/>
        </w:rPr>
        <w:t>In</w:t>
      </w:r>
      <w:r>
        <w:rPr>
          <w:rFonts w:ascii="Times New Roman" w:hAnsi="Times New Roman"/>
          <w:b/>
          <w:bCs/>
          <w:sz w:val="20"/>
          <w:lang w:val="pt-BR"/>
        </w:rPr>
        <w:t xml:space="preserve">: </w:t>
      </w:r>
      <w:r>
        <w:rPr>
          <w:rFonts w:ascii="Times New Roman" w:hAnsi="Times New Roman"/>
          <w:bCs/>
          <w:sz w:val="20"/>
          <w:lang w:val="pt-BR"/>
        </w:rPr>
        <w:t>Prous, A.; Lima, T. A. (Orgs.)</w:t>
      </w:r>
      <w:r>
        <w:rPr>
          <w:rFonts w:ascii="Times New Roman" w:hAnsi="Times New Roman"/>
          <w:b/>
          <w:bCs/>
          <w:sz w:val="20"/>
          <w:lang w:val="pt-BR"/>
        </w:rPr>
        <w:t xml:space="preserve">. Os ceramistas Tupiguarani: </w:t>
      </w:r>
      <w:r>
        <w:rPr>
          <w:rFonts w:ascii="Times New Roman" w:hAnsi="Times New Roman"/>
          <w:sz w:val="20"/>
          <w:lang w:val="pt-BR"/>
        </w:rPr>
        <w:t>eixos temáticos. Belo Horizonte: IPHAN, v. 3, 2010.</w:t>
      </w:r>
    </w:p>
    <w:p>
      <w:pPr>
        <w:pStyle w:val="Normal"/>
        <w:jc w:val="both"/>
        <w:rPr>
          <w:rFonts w:ascii="Times New Roman" w:hAnsi="Times New Roman"/>
          <w:sz w:val="20"/>
          <w:lang w:val="pt-BR"/>
        </w:rPr>
      </w:pPr>
      <w:r>
        <w:rPr>
          <w:rFonts w:ascii="Times New Roman" w:hAnsi="Times New Roman"/>
          <w:sz w:val="20"/>
          <w:lang w:val="pt-BR"/>
        </w:rPr>
      </w:r>
    </w:p>
    <w:p>
      <w:pPr>
        <w:pStyle w:val="Normal"/>
        <w:jc w:val="both"/>
        <w:rPr>
          <w:rFonts w:ascii="Times New Roman" w:hAnsi="Times New Roman"/>
          <w:sz w:val="20"/>
          <w:lang w:val="pt-BR"/>
        </w:rPr>
      </w:pPr>
      <w:r>
        <w:rPr>
          <w:rFonts w:ascii="Times New Roman" w:hAnsi="Times New Roman"/>
          <w:sz w:val="20"/>
          <w:lang w:val="pt-BR"/>
        </w:rPr>
        <w:t>TRIGGER, B. G., História do pensamento arqueológico. Tradução de Ordep Trindade Serra. São Paulo: Odysses Editora, 2004.</w:t>
      </w:r>
    </w:p>
    <w:p>
      <w:pPr>
        <w:pStyle w:val="Normal"/>
        <w:jc w:val="both"/>
        <w:rPr>
          <w:rFonts w:ascii="Times New Roman" w:hAnsi="Times New Roman"/>
          <w:sz w:val="20"/>
          <w:lang w:val="pt-BR"/>
        </w:rPr>
      </w:pPr>
      <w:r>
        <w:rPr>
          <w:rFonts w:ascii="Times New Roman" w:hAnsi="Times New Roman"/>
          <w:sz w:val="20"/>
          <w:lang w:val="pt-BR"/>
        </w:rPr>
      </w:r>
    </w:p>
    <w:p>
      <w:pPr>
        <w:pStyle w:val="Normal"/>
        <w:rPr>
          <w:b/>
          <w:b/>
          <w:sz w:val="20"/>
        </w:rPr>
      </w:pPr>
      <w:r>
        <w:rPr>
          <w:sz w:val="20"/>
        </w:rPr>
        <w:t>WATERS, M. R. Principles of geoarchaeology. A North American perspective. Tucson: The University of Arizona Press, 1992.</w:t>
      </w:r>
    </w:p>
    <w:p>
      <w:pPr>
        <w:pStyle w:val="Normal"/>
        <w:spacing w:lineRule="auto" w:line="360"/>
        <w:rPr>
          <w:b/>
          <w:b/>
          <w:color w:val="002060"/>
          <w:szCs w:val="24"/>
        </w:rPr>
      </w:pPr>
      <w:r>
        <w:rPr>
          <w:b/>
          <w:color w:val="002060"/>
          <w:szCs w:val="24"/>
        </w:rPr>
      </w:r>
    </w:p>
    <w:p>
      <w:pPr>
        <w:pStyle w:val="Normal"/>
        <w:spacing w:lineRule="auto" w:line="360"/>
        <w:rPr>
          <w:b/>
          <w:b/>
          <w:color w:val="002060"/>
          <w:szCs w:val="24"/>
        </w:rPr>
      </w:pPr>
      <w:r>
        <w:rPr>
          <w:b/>
          <w:color w:val="002060"/>
          <w:szCs w:val="24"/>
        </w:rPr>
      </w:r>
    </w:p>
    <w:p>
      <w:pPr>
        <w:pStyle w:val="Normal"/>
        <w:spacing w:lineRule="auto" w:line="360"/>
        <w:rPr>
          <w:b/>
          <w:b/>
          <w:color w:val="002060"/>
          <w:szCs w:val="24"/>
        </w:rPr>
      </w:pPr>
      <w:r>
        <w:rPr>
          <w:b/>
          <w:color w:val="002060"/>
          <w:szCs w:val="24"/>
        </w:rPr>
      </w:r>
    </w:p>
    <w:p>
      <w:pPr>
        <w:pStyle w:val="Normal"/>
        <w:spacing w:lineRule="auto" w:line="360"/>
        <w:rPr>
          <w:b/>
          <w:b/>
          <w:color w:val="002060"/>
          <w:szCs w:val="24"/>
        </w:rPr>
      </w:pPr>
      <w:r>
        <w:rPr>
          <w:b/>
          <w:color w:val="002060"/>
          <w:szCs w:val="24"/>
        </w:rPr>
      </w:r>
    </w:p>
    <w:p>
      <w:pPr>
        <w:pStyle w:val="Normal"/>
        <w:spacing w:lineRule="auto" w:line="360"/>
        <w:rPr>
          <w:b/>
          <w:b/>
          <w:color w:val="002060"/>
          <w:szCs w:val="24"/>
        </w:rPr>
      </w:pPr>
      <w:r>
        <w:rPr>
          <w:b/>
          <w:color w:val="002060"/>
          <w:szCs w:val="24"/>
        </w:rPr>
      </w:r>
    </w:p>
    <w:p>
      <w:pPr>
        <w:pStyle w:val="Normal"/>
        <w:spacing w:lineRule="auto" w:line="360"/>
        <w:jc w:val="both"/>
        <w:rPr>
          <w:b/>
          <w:b/>
          <w:sz w:val="20"/>
        </w:rPr>
      </w:pPr>
      <w:r>
        <w:rPr>
          <w:b/>
          <w:sz w:val="20"/>
        </w:rPr>
        <w:t>Agradecimentos</w:t>
      </w:r>
    </w:p>
    <w:p>
      <w:pPr>
        <w:pStyle w:val="Normal"/>
        <w:jc w:val="both"/>
        <w:rPr/>
      </w:pPr>
      <w:r>
        <w:rPr>
          <w:sz w:val="20"/>
          <w:lang w:val="pt-BR"/>
        </w:rPr>
        <w:t>Laboratório de Arqueologia Guarani e Estudos da Paisagem (LAGEP) – FCT UNESP Campus de Presidente Prudente.  Bolsista de Mestrado do CNPq (Conselho Nacional de Desenvolvimento Cientifico e Tecnológico).</w:t>
      </w:r>
    </w:p>
    <w:sectPr>
      <w:headerReference w:type="default" r:id="rId9"/>
      <w:footnotePr>
        <w:numFmt w:val="decimal"/>
      </w:footnotePr>
      <w:type w:val="nextPage"/>
      <w:pgSz w:w="12240" w:h="15840"/>
      <w:pgMar w:left="1418" w:right="1418" w:header="709" w:top="1418" w:footer="0" w:bottom="284" w:gutter="0"/>
      <w:pgNumType w:fmt="decimal"/>
      <w:formProt w:val="false"/>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Arial Unicode MS">
    <w:charset w:val="00"/>
    <w:family w:val="roman"/>
    <w:pitch w:val="variable"/>
  </w:font>
  <w:font w:name="Arial">
    <w:charset w:val="00"/>
    <w:family w:val="roman"/>
    <w:pitch w:val="variable"/>
  </w:font>
  <w:font w:name="Calibri">
    <w:charset w:val="00"/>
    <w:family w:val="roman"/>
    <w:pitch w:val="variable"/>
  </w:font>
  <w:font w:name="Tahoma">
    <w:charset w:val="00"/>
    <w:family w:val="roman"/>
    <w:pitch w:val="variable"/>
  </w:font>
  <w:font w:name="Courier New">
    <w:charset w:val="00"/>
    <w:family w:val="roman"/>
    <w:pitch w:val="variable"/>
  </w:font>
  <w:font w:name="Liberation Sans">
    <w:altName w:val="Arial"/>
    <w:charset w:val="00"/>
    <w:family w:val="swiss"/>
    <w:pitch w:val="variable"/>
  </w:font>
  <w:font w:name="inherit">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jc w:val="both"/>
        <w:rPr/>
      </w:pPr>
      <w:r>
        <w:rPr>
          <w:rStyle w:val="Footnotereference"/>
        </w:rPr>
        <w:footnoteRef/>
        <w:tab/>
      </w:r>
      <w:r>
        <w:rPr/>
        <w:t xml:space="preserve"> </w:t>
      </w:r>
      <w:r>
        <w:rPr>
          <w:rFonts w:ascii="Times New Roman" w:hAnsi="Times New Roman"/>
          <w:sz w:val="16"/>
          <w:szCs w:val="16"/>
        </w:rPr>
        <w:t>De acordo com Strahler (1954), a classificação dos elementos de um sistema fluvial (hierarquia fluvial) tem como canais de primeira ordem ou grandeza são ligados diretamente à nascente; os sistemas de segunda ordem apresenta</w:t>
      </w:r>
      <w:r>
        <w:rPr>
          <w:rFonts w:ascii="Times New Roman" w:hAnsi="Times New Roman"/>
          <w:sz w:val="16"/>
          <w:szCs w:val="16"/>
          <w:lang w:val="pt-BR"/>
        </w:rPr>
        <w:t>m</w:t>
      </w:r>
      <w:r>
        <w:rPr>
          <w:rFonts w:ascii="Times New Roman" w:hAnsi="Times New Roman"/>
          <w:sz w:val="16"/>
          <w:szCs w:val="16"/>
        </w:rPr>
        <w:t xml:space="preserve"> confluência de dois canais de primeira ordem e só recebem afluentes de primeira ordem; os sistemas de terceira ordem surgem da confluência de dois</w:t>
      </w:r>
      <w:r>
        <w:rPr>
          <w:rFonts w:ascii="Times New Roman" w:hAnsi="Times New Roman"/>
          <w:sz w:val="16"/>
          <w:szCs w:val="16"/>
          <w:lang w:val="pt-BR"/>
        </w:rPr>
        <w:t xml:space="preserve"> </w:t>
      </w:r>
      <w:r>
        <w:rPr>
          <w:rFonts w:ascii="Times New Roman" w:hAnsi="Times New Roman"/>
          <w:sz w:val="16"/>
          <w:szCs w:val="16"/>
        </w:rPr>
        <w:t>canais de segunda ordem, podendo receber afluentes de ordenação inferior, e a assim por diante.</w:t>
      </w:r>
    </w:p>
  </w:footnote>
  <w:footnote w:id="3">
    <w:p>
      <w:pPr>
        <w:pStyle w:val="Footnotetext"/>
        <w:jc w:val="both"/>
        <w:rPr/>
      </w:pPr>
      <w:r>
        <w:rPr>
          <w:rStyle w:val="Footnotereference"/>
          <w:rFonts w:ascii="Times New Roman" w:hAnsi="Times New Roman"/>
          <w:sz w:val="16"/>
          <w:szCs w:val="16"/>
        </w:rPr>
        <w:footnoteRef/>
        <w:tab/>
      </w:r>
      <w:r>
        <w:rPr>
          <w:rFonts w:ascii="Times New Roman" w:hAnsi="Times New Roman"/>
          <w:sz w:val="16"/>
          <w:szCs w:val="16"/>
        </w:rPr>
        <w:t xml:space="preserve"> </w:t>
      </w:r>
      <w:r>
        <w:rPr>
          <w:rFonts w:ascii="Times New Roman" w:hAnsi="Times New Roman"/>
          <w:sz w:val="16"/>
          <w:szCs w:val="16"/>
        </w:rPr>
        <w:t>O arenito silicificado utilizado pelas populações pré-históricas do Vale do Paranapanema tem sua origem ligada a um extraordinário derrame de lava, resultante do vulcanismo neojurássico e o cretáceo da bacia do Paraná [...], acumuladas em depressão e fissuras do basalto, resultando em diques clásticos (arenito intrapino) (SUGUIO; FULFARO, 1974). O silexito e a calcedônia, normalmente encontrados nas proximidades dos morros residuais areníticos em blocos e depósitos coluviais de encostas, são minerais da classe dos silicatos, bastante comuns, pertencente</w:t>
      </w:r>
      <w:r>
        <w:rPr>
          <w:rFonts w:ascii="Times New Roman" w:hAnsi="Times New Roman"/>
          <w:sz w:val="16"/>
          <w:szCs w:val="16"/>
          <w:lang w:val="pt-BR"/>
        </w:rPr>
        <w:t>s</w:t>
      </w:r>
      <w:r>
        <w:rPr>
          <w:rFonts w:ascii="Times New Roman" w:hAnsi="Times New Roman"/>
          <w:sz w:val="16"/>
          <w:szCs w:val="16"/>
        </w:rPr>
        <w:t xml:space="preserve"> ao grupo do quartzo, que se formam a altas temperaturas e pressão (DANA, 1978).</w:t>
      </w:r>
      <w:r>
        <w:rPr>
          <w:sz w:val="16"/>
          <w:szCs w:val="16"/>
        </w:rPr>
        <w:t xml:space="preserve">  </w:t>
      </w:r>
    </w:p>
  </w:footnote>
  <w:footnote w:id="4">
    <w:p>
      <w:pPr>
        <w:pStyle w:val="Footnotetext"/>
        <w:jc w:val="both"/>
        <w:rPr/>
      </w:pPr>
      <w:r>
        <w:rPr>
          <w:rStyle w:val="Footnotereference"/>
          <w:rFonts w:ascii="Times New Roman" w:hAnsi="Times New Roman"/>
          <w:sz w:val="16"/>
          <w:szCs w:val="16"/>
        </w:rPr>
        <w:footnoteRef/>
        <w:tab/>
      </w:r>
      <w:r>
        <w:rPr>
          <w:rFonts w:ascii="Times New Roman" w:hAnsi="Times New Roman"/>
          <w:sz w:val="16"/>
          <w:szCs w:val="16"/>
        </w:rPr>
        <w:t xml:space="preserve"> </w:t>
      </w:r>
      <w:r>
        <w:rPr>
          <w:rFonts w:ascii="Times New Roman" w:hAnsi="Times New Roman"/>
          <w:sz w:val="16"/>
          <w:szCs w:val="16"/>
          <w:lang w:val="pt-BR"/>
        </w:rPr>
        <w:t xml:space="preserve">Tekoá- </w:t>
      </w:r>
      <w:r>
        <w:rPr>
          <w:rFonts w:eastAsia="Times" w:ascii="Times New Roman" w:hAnsi="Times New Roman"/>
          <w:sz w:val="16"/>
          <w:szCs w:val="16"/>
          <w:shd w:fill="FFFFFF" w:val="clear"/>
          <w:lang w:val="pt-BR" w:eastAsia="en-US"/>
        </w:rPr>
        <w:t>O termo </w:t>
      </w:r>
      <w:r>
        <w:rPr>
          <w:rFonts w:eastAsia="Times" w:ascii="Times New Roman" w:hAnsi="Times New Roman"/>
          <w:b/>
          <w:bCs/>
          <w:sz w:val="16"/>
          <w:szCs w:val="16"/>
          <w:shd w:fill="FFFFFF" w:val="clear"/>
          <w:lang w:val="pt-BR" w:eastAsia="en-US"/>
        </w:rPr>
        <w:t>tekoá</w:t>
      </w:r>
      <w:r>
        <w:rPr>
          <w:rFonts w:eastAsia="Times" w:ascii="Times New Roman" w:hAnsi="Times New Roman"/>
          <w:sz w:val="16"/>
          <w:szCs w:val="16"/>
          <w:shd w:fill="FFFFFF" w:val="clear"/>
          <w:lang w:val="pt-BR" w:eastAsia="en-US"/>
        </w:rPr>
        <w:t>, também grafado tekoha (pronunciado /tequô'á/), é de origem </w:t>
      </w:r>
      <w:r>
        <w:rPr>
          <w:rFonts w:eastAsia="Times" w:ascii="Times New Roman" w:hAnsi="Times New Roman"/>
          <w:bCs/>
          <w:sz w:val="16"/>
          <w:szCs w:val="16"/>
          <w:shd w:fill="FFFFFF" w:val="clear"/>
          <w:lang w:val="pt-BR" w:eastAsia="en-US"/>
        </w:rPr>
        <w:t>guarani</w:t>
      </w:r>
      <w:r>
        <w:rPr>
          <w:rFonts w:eastAsia="Times" w:ascii="Times New Roman" w:hAnsi="Times New Roman"/>
          <w:sz w:val="16"/>
          <w:szCs w:val="16"/>
          <w:shd w:fill="FFFFFF" w:val="clear"/>
          <w:lang w:val="pt-BR" w:eastAsia="en-US"/>
        </w:rPr>
        <w:t> e significa aldeia </w:t>
      </w:r>
      <w:r>
        <w:rPr>
          <w:rFonts w:eastAsia="Times" w:ascii="Times New Roman" w:hAnsi="Times New Roman"/>
          <w:bCs/>
          <w:sz w:val="16"/>
          <w:szCs w:val="16"/>
          <w:shd w:fill="FFFFFF" w:val="clear"/>
          <w:lang w:val="pt-BR" w:eastAsia="en-US"/>
        </w:rPr>
        <w:t>guarani</w:t>
      </w:r>
      <w:r>
        <w:rPr>
          <w:rFonts w:eastAsia="Times" w:ascii="Times New Roman" w:hAnsi="Times New Roman"/>
          <w:sz w:val="16"/>
          <w:szCs w:val="16"/>
          <w:shd w:fill="FFFFFF" w:val="clear"/>
          <w:lang w:val="pt-BR" w:eastAsia="en-US"/>
        </w:rPr>
        <w:t>. O </w:t>
      </w:r>
      <w:r>
        <w:rPr>
          <w:rFonts w:eastAsia="Times" w:ascii="Times New Roman" w:hAnsi="Times New Roman"/>
          <w:b/>
          <w:bCs/>
          <w:sz w:val="16"/>
          <w:szCs w:val="16"/>
          <w:shd w:fill="FFFFFF" w:val="clear"/>
          <w:lang w:val="pt-BR" w:eastAsia="en-US"/>
        </w:rPr>
        <w:t>s</w:t>
      </w:r>
      <w:r>
        <w:rPr>
          <w:rFonts w:eastAsia="Times" w:ascii="Times New Roman" w:hAnsi="Times New Roman"/>
          <w:bCs/>
          <w:sz w:val="16"/>
          <w:szCs w:val="16"/>
          <w:shd w:fill="FFFFFF" w:val="clear"/>
          <w:lang w:val="pt-BR" w:eastAsia="en-US"/>
        </w:rPr>
        <w:t>ignificado</w:t>
      </w:r>
      <w:r>
        <w:rPr>
          <w:rFonts w:eastAsia="Times" w:ascii="Times New Roman" w:hAnsi="Times New Roman"/>
          <w:sz w:val="16"/>
          <w:szCs w:val="16"/>
          <w:shd w:fill="FFFFFF" w:val="clear"/>
          <w:lang w:val="pt-BR" w:eastAsia="en-US"/>
        </w:rPr>
        <w:t> completo da palavra, porém, não se reduz ao lugar habitado pelo grupo </w:t>
      </w:r>
      <w:r>
        <w:rPr>
          <w:rFonts w:eastAsia="Times" w:ascii="Times New Roman" w:hAnsi="Times New Roman"/>
          <w:bCs/>
          <w:sz w:val="16"/>
          <w:szCs w:val="16"/>
          <w:shd w:fill="FFFFFF" w:val="clear"/>
          <w:lang w:val="pt-BR" w:eastAsia="en-US"/>
        </w:rPr>
        <w:t>guarani</w:t>
      </w:r>
      <w:r>
        <w:rPr>
          <w:rFonts w:eastAsia="Times" w:ascii="Times New Roman" w:hAnsi="Times New Roman"/>
          <w:sz w:val="16"/>
          <w:szCs w:val="16"/>
          <w:shd w:fill="FFFFFF" w:val="clear"/>
          <w:lang w:val="pt-BR" w:eastAsia="en-US"/>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rFonts w:ascii="Arial" w:hAnsi="Arial" w:cs="Arial"/>
        <w:i/>
        <w:i/>
        <w:color w:val="262626"/>
        <w:sz w:val="16"/>
        <w:szCs w:val="16"/>
      </w:rPr>
    </w:pPr>
    <w:r>
      <w:rPr/>
      <w:drawing>
        <wp:inline distT="0" distB="0" distL="0" distR="0">
          <wp:extent cx="5758815" cy="647700"/>
          <wp:effectExtent l="0" t="0" r="0" b="0"/>
          <wp:docPr id="9" name="Figura1"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 descr="CABEÇALHO-final"/>
                  <pic:cNvPicPr>
                    <a:picLocks noChangeAspect="1" noChangeArrowheads="1"/>
                  </pic:cNvPicPr>
                </pic:nvPicPr>
                <pic:blipFill>
                  <a:blip r:embed="rId1"/>
                  <a:stretch>
                    <a:fillRect/>
                  </a:stretch>
                </pic:blipFill>
                <pic:spPr bwMode="auto">
                  <a:xfrm>
                    <a:off x="0" y="0"/>
                    <a:ext cx="5758815" cy="64770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embedSystemFonts/>
  <w:defaultTabStop w:val="720"/>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w:hAnsi="Times" w:eastAsia="Times"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qFormat="1"/>
    <w:lsdException w:name="heading 4" w:uiPriority="9"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d01d7"/>
    <w:pPr>
      <w:widowControl/>
      <w:bidi w:val="0"/>
      <w:jc w:val="left"/>
    </w:pPr>
    <w:rPr>
      <w:rFonts w:ascii="Times" w:hAnsi="Times" w:eastAsia="Times" w:cs="Times New Roman"/>
      <w:color w:val="auto"/>
      <w:sz w:val="24"/>
      <w:szCs w:val="20"/>
      <w:lang w:val="en-US" w:eastAsia="en-US" w:bidi="ar-SA"/>
    </w:rPr>
  </w:style>
  <w:style w:type="paragraph" w:styleId="Ttulo1">
    <w:name w:val="Heading 1"/>
    <w:basedOn w:val="Normal"/>
    <w:qFormat/>
    <w:pPr>
      <w:spacing w:beforeAutospacing="1" w:afterAutospacing="1"/>
      <w:outlineLvl w:val="0"/>
    </w:pPr>
    <w:rPr>
      <w:rFonts w:ascii="Arial Unicode MS" w:hAnsi="Arial Unicode MS" w:eastAsia="Arial Unicode MS"/>
      <w:b/>
      <w:sz w:val="48"/>
    </w:rPr>
  </w:style>
  <w:style w:type="paragraph" w:styleId="Ttulo2">
    <w:name w:val="Heading 2"/>
    <w:basedOn w:val="Normal"/>
    <w:next w:val="Normal"/>
    <w:qFormat/>
    <w:pPr>
      <w:keepNext/>
      <w:widowControl w:val="false"/>
      <w:outlineLvl w:val="1"/>
    </w:pPr>
    <w:rPr>
      <w:rFonts w:ascii="Arial" w:hAnsi="Arial" w:eastAsia="Times New Roman"/>
      <w:b/>
    </w:rPr>
  </w:style>
  <w:style w:type="paragraph" w:styleId="Ttulo4">
    <w:name w:val="Heading 4"/>
    <w:basedOn w:val="Normal"/>
    <w:next w:val="Normal"/>
    <w:link w:val="Ttulo4Char"/>
    <w:uiPriority w:val="9"/>
    <w:qFormat/>
    <w:rsid w:val="00c0731d"/>
    <w:pPr>
      <w:keepNext/>
      <w:spacing w:before="240" w:after="60"/>
      <w:outlineLvl w:val="3"/>
    </w:pPr>
    <w:rPr>
      <w:rFonts w:ascii="Calibri" w:hAnsi="Calibri" w:eastAsia="PMingLiU"/>
      <w:b/>
      <w:bCs/>
      <w:sz w:val="28"/>
      <w:szCs w:val="28"/>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LinkdaInternet">
    <w:name w:val="Link da Internet"/>
    <w:rsid w:val="004e0757"/>
    <w:rPr>
      <w:color w:val="0000FF"/>
      <w:u w:val="single"/>
    </w:rPr>
  </w:style>
  <w:style w:type="character" w:styleId="Ttulo4Char" w:customStyle="1">
    <w:name w:val="Título 4 Char"/>
    <w:link w:val="Ttulo4"/>
    <w:uiPriority w:val="9"/>
    <w:semiHidden/>
    <w:qFormat/>
    <w:rsid w:val="00c0731d"/>
    <w:rPr>
      <w:rFonts w:ascii="Calibri" w:hAnsi="Calibri" w:eastAsia="PMingLiU" w:cs="Times New Roman"/>
      <w:b/>
      <w:bCs/>
      <w:sz w:val="28"/>
      <w:szCs w:val="28"/>
      <w:lang w:val="en-US" w:eastAsia="en-US"/>
    </w:rPr>
  </w:style>
  <w:style w:type="character" w:styleId="Textexposedshow" w:customStyle="1">
    <w:name w:val="text_exposed_show"/>
    <w:qFormat/>
    <w:rsid w:val="00f91c78"/>
    <w:rPr>
      <w:rFonts w:ascii="Tahoma" w:hAnsi="Tahoma" w:cs="Tahoma"/>
      <w:sz w:val="18"/>
      <w:szCs w:val="18"/>
    </w:rPr>
  </w:style>
  <w:style w:type="character" w:styleId="Appleconvertedspace" w:customStyle="1">
    <w:name w:val="apple-converted-space"/>
    <w:qFormat/>
    <w:rsid w:val="00f91c78"/>
    <w:rPr>
      <w:rFonts w:ascii="Tahoma" w:hAnsi="Tahoma" w:cs="Tahoma"/>
      <w:sz w:val="18"/>
      <w:szCs w:val="18"/>
    </w:rPr>
  </w:style>
  <w:style w:type="character" w:styleId="TextodebaloChar" w:customStyle="1">
    <w:name w:val="Texto de balão Char"/>
    <w:link w:val="Textodebalo"/>
    <w:uiPriority w:val="99"/>
    <w:semiHidden/>
    <w:qFormat/>
    <w:rsid w:val="0077350b"/>
    <w:rPr>
      <w:rFonts w:ascii="Tahoma" w:hAnsi="Tahoma" w:cs="Tahoma"/>
      <w:sz w:val="16"/>
      <w:szCs w:val="16"/>
      <w:lang w:val="en-US" w:eastAsia="en-US"/>
    </w:rPr>
  </w:style>
  <w:style w:type="character" w:styleId="Annotationreference">
    <w:name w:val="annotation reference"/>
    <w:uiPriority w:val="99"/>
    <w:semiHidden/>
    <w:unhideWhenUsed/>
    <w:qFormat/>
    <w:rsid w:val="004f689a"/>
    <w:rPr>
      <w:sz w:val="16"/>
      <w:szCs w:val="16"/>
    </w:rPr>
  </w:style>
  <w:style w:type="character" w:styleId="TextodecomentrioChar" w:customStyle="1">
    <w:name w:val="Texto de comentário Char"/>
    <w:link w:val="Textodecomentrio"/>
    <w:uiPriority w:val="99"/>
    <w:semiHidden/>
    <w:qFormat/>
    <w:rsid w:val="004f689a"/>
    <w:rPr>
      <w:lang w:val="en-US" w:eastAsia="en-US"/>
    </w:rPr>
  </w:style>
  <w:style w:type="character" w:styleId="AssuntodocomentrioChar" w:customStyle="1">
    <w:name w:val="Assunto do comentário Char"/>
    <w:link w:val="Assuntodocomentrio"/>
    <w:uiPriority w:val="99"/>
    <w:semiHidden/>
    <w:qFormat/>
    <w:rsid w:val="004f689a"/>
    <w:rPr>
      <w:b/>
      <w:bCs/>
      <w:lang w:val="en-US" w:eastAsia="en-US"/>
    </w:rPr>
  </w:style>
  <w:style w:type="character" w:styleId="TextodenotaderodapChar" w:customStyle="1">
    <w:name w:val="Texto de nota de rodapé Char"/>
    <w:link w:val="Textodenotaderodap"/>
    <w:uiPriority w:val="99"/>
    <w:semiHidden/>
    <w:qFormat/>
    <w:rsid w:val="000a5b4c"/>
    <w:rPr>
      <w:rFonts w:ascii="Calibri" w:hAnsi="Calibri" w:eastAsia="Calibri"/>
      <w:lang w:val="x-none"/>
    </w:rPr>
  </w:style>
  <w:style w:type="character" w:styleId="Footnotereference">
    <w:name w:val="footnote reference"/>
    <w:uiPriority w:val="99"/>
    <w:semiHidden/>
    <w:qFormat/>
    <w:rsid w:val="000a5b4c"/>
    <w:rPr>
      <w:vertAlign w:val="superscript"/>
    </w:rPr>
  </w:style>
  <w:style w:type="character" w:styleId="PrformataoHTMLChar" w:customStyle="1">
    <w:name w:val="Pré-formatação HTML Char"/>
    <w:basedOn w:val="DefaultParagraphFont"/>
    <w:link w:val="Pr-formataoHTML"/>
    <w:uiPriority w:val="99"/>
    <w:semiHidden/>
    <w:qFormat/>
    <w:rsid w:val="005c5dc1"/>
    <w:rPr>
      <w:rFonts w:ascii="Courier New" w:hAnsi="Courier New" w:eastAsia="Times New Roman" w:cs="Courier New"/>
    </w:rPr>
  </w:style>
  <w:style w:type="character" w:styleId="ListLabel1">
    <w:name w:val="ListLabel 1"/>
    <w:qFormat/>
    <w:rPr>
      <w:b/>
    </w:rPr>
  </w:style>
  <w:style w:type="character" w:styleId="ListLabel2">
    <w:name w:val="ListLabel 2"/>
    <w:qFormat/>
    <w:rPr>
      <w:b/>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etexto"/>
    <w:qFormat/>
    <w:pPr>
      <w:keepNext/>
      <w:spacing w:before="240" w:after="120"/>
    </w:pPr>
    <w:rPr>
      <w:rFonts w:ascii="Liberation Sans" w:hAnsi="Liberation Sans" w:eastAsia="Microsoft YaHei" w:cs="Arial"/>
      <w:sz w:val="28"/>
      <w:szCs w:val="28"/>
    </w:rPr>
  </w:style>
  <w:style w:type="paragraph" w:styleId="Corpodetexto">
    <w:name w:val="Body Text"/>
    <w:basedOn w:val="Normal"/>
    <w:pPr/>
    <w:rPr>
      <w:rFonts w:ascii="Times New Roman" w:hAnsi="Times New Roman"/>
      <w:color w:val="000000"/>
      <w:sz w:val="32"/>
    </w:rPr>
  </w:style>
  <w:style w:type="paragraph" w:styleId="Lista">
    <w:name w:val="List"/>
    <w:basedOn w:val="Corpode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BodyText2">
    <w:name w:val="Body Text 2"/>
    <w:basedOn w:val="Normal"/>
    <w:qFormat/>
    <w:pPr/>
    <w:rPr>
      <w:rFonts w:ascii="Times New Roman" w:hAnsi="Times New Roman"/>
      <w:b/>
      <w:sz w:val="28"/>
    </w:rPr>
  </w:style>
  <w:style w:type="paragraph" w:styleId="Cabealho">
    <w:name w:val="Header"/>
    <w:basedOn w:val="Normal"/>
    <w:pPr>
      <w:tabs>
        <w:tab w:val="center" w:pos="4320" w:leader="none"/>
        <w:tab w:val="right" w:pos="8640" w:leader="none"/>
      </w:tabs>
    </w:pPr>
    <w:rPr/>
  </w:style>
  <w:style w:type="paragraph" w:styleId="Rodap">
    <w:name w:val="Footer"/>
    <w:basedOn w:val="Normal"/>
    <w:pPr>
      <w:tabs>
        <w:tab w:val="center" w:pos="4320" w:leader="none"/>
        <w:tab w:val="right" w:pos="8640" w:leader="none"/>
      </w:tabs>
    </w:pPr>
    <w:rPr/>
  </w:style>
  <w:style w:type="paragraph" w:styleId="BodyText3">
    <w:name w:val="Body Text 3"/>
    <w:basedOn w:val="Normal"/>
    <w:qFormat/>
    <w:pPr>
      <w:tabs>
        <w:tab w:val="left" w:pos="360" w:leader="none"/>
      </w:tabs>
      <w:jc w:val="both"/>
    </w:pPr>
    <w:rPr>
      <w:rFonts w:ascii="Times New Roman" w:hAnsi="Times New Roman"/>
      <w:lang w:eastAsia="zh-TW"/>
    </w:rPr>
  </w:style>
  <w:style w:type="paragraph" w:styleId="Corpodetextorecuado">
    <w:name w:val="Body Text Indent"/>
    <w:basedOn w:val="Normal"/>
    <w:pPr>
      <w:ind w:firstLine="720"/>
    </w:pPr>
    <w:rPr/>
  </w:style>
  <w:style w:type="paragraph" w:styleId="Default" w:customStyle="1">
    <w:name w:val="Default"/>
    <w:qFormat/>
    <w:rsid w:val="00bd6947"/>
    <w:pPr>
      <w:widowControl/>
      <w:bidi w:val="0"/>
      <w:jc w:val="left"/>
    </w:pPr>
    <w:rPr>
      <w:rFonts w:ascii="Arial" w:hAnsi="Arial" w:eastAsia="Times New Roman" w:cs="Arial"/>
      <w:color w:val="000000"/>
      <w:sz w:val="24"/>
      <w:szCs w:val="24"/>
      <w:lang w:val="pt-PT" w:eastAsia="pt-PT" w:bidi="ar-SA"/>
    </w:rPr>
  </w:style>
  <w:style w:type="paragraph" w:styleId="BalloonText">
    <w:name w:val="Balloon Text"/>
    <w:basedOn w:val="Normal"/>
    <w:link w:val="TextodebaloChar"/>
    <w:uiPriority w:val="99"/>
    <w:semiHidden/>
    <w:unhideWhenUsed/>
    <w:qFormat/>
    <w:rsid w:val="0077350b"/>
    <w:pPr/>
    <w:rPr>
      <w:rFonts w:ascii="Tahoma" w:hAnsi="Tahoma"/>
      <w:sz w:val="16"/>
      <w:szCs w:val="16"/>
    </w:rPr>
  </w:style>
  <w:style w:type="paragraph" w:styleId="Annotationtext">
    <w:name w:val="annotation text"/>
    <w:basedOn w:val="Normal"/>
    <w:link w:val="TextodecomentrioChar"/>
    <w:uiPriority w:val="99"/>
    <w:semiHidden/>
    <w:unhideWhenUsed/>
    <w:qFormat/>
    <w:rsid w:val="004f689a"/>
    <w:pPr/>
    <w:rPr>
      <w:sz w:val="20"/>
    </w:rPr>
  </w:style>
  <w:style w:type="paragraph" w:styleId="Annotationsubject">
    <w:name w:val="annotation subject"/>
    <w:basedOn w:val="Annotationtext"/>
    <w:link w:val="AssuntodocomentrioChar"/>
    <w:uiPriority w:val="99"/>
    <w:semiHidden/>
    <w:unhideWhenUsed/>
    <w:qFormat/>
    <w:rsid w:val="004f689a"/>
    <w:pPr/>
    <w:rPr>
      <w:b/>
      <w:bCs/>
    </w:rPr>
  </w:style>
  <w:style w:type="paragraph" w:styleId="Footnotetext">
    <w:name w:val="footnote text"/>
    <w:basedOn w:val="Normal"/>
    <w:link w:val="TextodenotaderodapChar"/>
    <w:uiPriority w:val="99"/>
    <w:semiHidden/>
    <w:qFormat/>
    <w:rsid w:val="000a5b4c"/>
    <w:pPr/>
    <w:rPr>
      <w:rFonts w:ascii="Calibri" w:hAnsi="Calibri" w:eastAsia="Calibri"/>
      <w:sz w:val="20"/>
      <w:lang w:val="x-none" w:eastAsia="pt-BR"/>
    </w:rPr>
  </w:style>
  <w:style w:type="paragraph" w:styleId="NormalWeb">
    <w:name w:val="Normal (Web)"/>
    <w:basedOn w:val="Normal"/>
    <w:uiPriority w:val="99"/>
    <w:unhideWhenUsed/>
    <w:qFormat/>
    <w:rsid w:val="000a5b4c"/>
    <w:pPr>
      <w:spacing w:beforeAutospacing="1" w:afterAutospacing="1"/>
    </w:pPr>
    <w:rPr>
      <w:rFonts w:ascii="Times New Roman" w:hAnsi="Times New Roman" w:eastAsia="Times New Roman"/>
      <w:szCs w:val="24"/>
      <w:lang w:val="pt-BR" w:eastAsia="pt-BR"/>
    </w:rPr>
  </w:style>
  <w:style w:type="paragraph" w:styleId="Revision">
    <w:name w:val="Revision"/>
    <w:uiPriority w:val="99"/>
    <w:semiHidden/>
    <w:qFormat/>
    <w:rsid w:val="00d83f85"/>
    <w:pPr>
      <w:widowControl/>
      <w:bidi w:val="0"/>
      <w:jc w:val="left"/>
    </w:pPr>
    <w:rPr>
      <w:rFonts w:ascii="Times" w:hAnsi="Times" w:eastAsia="Times" w:cs="Times New Roman"/>
      <w:color w:val="auto"/>
      <w:sz w:val="24"/>
      <w:szCs w:val="20"/>
      <w:lang w:val="en-US" w:eastAsia="en-US" w:bidi="ar-SA"/>
    </w:rPr>
  </w:style>
  <w:style w:type="paragraph" w:styleId="HTMLPreformatted">
    <w:name w:val="HTML Preformatted"/>
    <w:basedOn w:val="Normal"/>
    <w:link w:val="Pr-formataoHTMLChar"/>
    <w:uiPriority w:val="99"/>
    <w:semiHidden/>
    <w:unhideWhenUsed/>
    <w:qFormat/>
    <w:rsid w:val="005c5dc1"/>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lang w:val="pt-BR" w:eastAsia="pt-BR"/>
    </w:rPr>
  </w:style>
  <w:style w:type="paragraph" w:styleId="Notaderodap">
    <w:name w:val="Footnote Text"/>
    <w:basedOn w:val="Normal"/>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5d01d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wmf"/><Relationship Id="rId9" Type="http://schemas.openxmlformats.org/officeDocument/2006/relationships/header" Target="header1.xml"/><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FFD97-5C10-4DD4-8727-FB2646423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Application>LibreOffice/5.2.5.1$Windows_X86_64 LibreOffice_project/0312e1a284a7d50ca85a365c316c7abbf20a4d22</Application>
  <Pages>12</Pages>
  <Words>4457</Words>
  <Characters>26521</Characters>
  <CharactersWithSpaces>30948</CharactersWithSpaces>
  <Paragraphs>109</Paragraphs>
  <Company>Biotech Research Institute, NRC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2017-08-13T01:47:00Z</dcterms:created>
  <dc:creator>Serge Guiot</dc:creator>
  <dc:description/>
  <dc:language>pt-BR</dc:language>
  <cp:lastModifiedBy/>
  <cp:lastPrinted>2013-02-14T14:58:00Z</cp:lastPrinted>
  <dcterms:modified xsi:type="dcterms:W3CDTF">2017-08-16T15:15:28Z</dcterms:modified>
  <cp:revision>5</cp:revision>
  <dc:subject/>
  <dc:title>SUBMISSION OF PAPERS/POSTERS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Biotech Research Institute, NRC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