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1F" w:rsidRDefault="00C16758" w:rsidP="00C16758">
      <w:pPr>
        <w:pStyle w:val="GFTtulo"/>
        <w:spacing w:before="480" w:after="240" w:afterAutospacing="0"/>
        <w:contextualSpacing w:val="0"/>
      </w:pPr>
      <w:r>
        <w:t>BASE CARTOGRÁFICA DIGITAL DA BACIA HIDROGRÁFICA DO LAGO DE FURNAS</w:t>
      </w:r>
    </w:p>
    <w:p w:rsidR="00C16758" w:rsidRPr="00C16758" w:rsidRDefault="00C16758" w:rsidP="00C16758">
      <w:pPr>
        <w:spacing w:before="240" w:after="24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C16758">
        <w:rPr>
          <w:rFonts w:ascii="Times New Roman" w:hAnsi="Times New Roman" w:cs="Times New Roman"/>
          <w:color w:val="000000"/>
          <w:sz w:val="24"/>
        </w:rPr>
        <w:t xml:space="preserve">Luize Batista </w:t>
      </w:r>
      <w:proofErr w:type="gramStart"/>
      <w:r w:rsidRPr="00C16758">
        <w:rPr>
          <w:rFonts w:ascii="Times New Roman" w:hAnsi="Times New Roman" w:cs="Times New Roman"/>
          <w:color w:val="000000"/>
          <w:sz w:val="24"/>
        </w:rPr>
        <w:t>Campos</w:t>
      </w:r>
      <w:r w:rsidRPr="00C16758">
        <w:rPr>
          <w:rFonts w:ascii="Times New Roman" w:hAnsi="Times New Roman" w:cs="Times New Roman"/>
          <w:color w:val="000000"/>
          <w:sz w:val="24"/>
          <w:vertAlign w:val="superscript"/>
        </w:rPr>
        <w:t>(</w:t>
      </w:r>
      <w:proofErr w:type="gramEnd"/>
      <w:r w:rsidRPr="00C16758">
        <w:rPr>
          <w:rFonts w:ascii="Times New Roman" w:hAnsi="Times New Roman" w:cs="Times New Roman"/>
          <w:color w:val="000000"/>
          <w:sz w:val="24"/>
          <w:vertAlign w:val="superscript"/>
        </w:rPr>
        <w:t>a)</w:t>
      </w:r>
      <w:r w:rsidRPr="00C16758">
        <w:rPr>
          <w:rFonts w:ascii="Times New Roman" w:hAnsi="Times New Roman" w:cs="Times New Roman"/>
          <w:color w:val="000000"/>
          <w:sz w:val="24"/>
        </w:rPr>
        <w:t>, Marcelo de Oliveira Latuf</w:t>
      </w:r>
      <w:r w:rsidRPr="00C16758">
        <w:rPr>
          <w:rFonts w:ascii="Times New Roman" w:hAnsi="Times New Roman" w:cs="Times New Roman"/>
          <w:color w:val="000000"/>
          <w:sz w:val="24"/>
          <w:vertAlign w:val="superscript"/>
        </w:rPr>
        <w:t>(b)</w:t>
      </w:r>
    </w:p>
    <w:p w:rsidR="00122F1F" w:rsidRPr="00122F1F" w:rsidRDefault="00C16758" w:rsidP="00122F1F">
      <w:pPr>
        <w:pStyle w:val="GFDepatamentos"/>
      </w:pPr>
      <w:r w:rsidRPr="00C16758">
        <w:rPr>
          <w:vertAlign w:val="superscript"/>
        </w:rPr>
        <w:t>(</w:t>
      </w:r>
      <w:proofErr w:type="gramStart"/>
      <w:r w:rsidRPr="00C16758">
        <w:rPr>
          <w:vertAlign w:val="superscript"/>
        </w:rPr>
        <w:t>a)</w:t>
      </w:r>
      <w:r w:rsidR="00122F1F" w:rsidRPr="00122F1F">
        <w:t>Instituto</w:t>
      </w:r>
      <w:proofErr w:type="gramEnd"/>
      <w:r w:rsidR="00122F1F" w:rsidRPr="00122F1F">
        <w:t xml:space="preserve"> de Ciências da Natureza/Universidade Federal de Alfenas, luizebcampos@gmail.com</w:t>
      </w:r>
    </w:p>
    <w:p w:rsidR="00122F1F" w:rsidRPr="00122F1F" w:rsidRDefault="00C16758" w:rsidP="00122F1F">
      <w:pPr>
        <w:pStyle w:val="GFDepatamentos"/>
      </w:pPr>
      <w:r w:rsidRPr="00C16758">
        <w:rPr>
          <w:vertAlign w:val="superscript"/>
        </w:rPr>
        <w:t>(</w:t>
      </w:r>
      <w:proofErr w:type="gramStart"/>
      <w:r w:rsidRPr="00C16758">
        <w:rPr>
          <w:vertAlign w:val="superscript"/>
        </w:rPr>
        <w:t>b)</w:t>
      </w:r>
      <w:r w:rsidR="00122F1F" w:rsidRPr="00122F1F">
        <w:t>Instituto</w:t>
      </w:r>
      <w:proofErr w:type="gramEnd"/>
      <w:r w:rsidR="00122F1F" w:rsidRPr="00122F1F">
        <w:t xml:space="preserve"> de Ciências da Natureza/Universidade Federal de Alfenas, </w:t>
      </w:r>
      <w:hyperlink r:id="rId8" w:history="1">
        <w:r w:rsidR="00122F1F" w:rsidRPr="00122F1F">
          <w:rPr>
            <w:rStyle w:val="Hyperlink"/>
            <w:color w:val="auto"/>
            <w:u w:val="none"/>
          </w:rPr>
          <w:t>marcelo.latuf@unifal-mg.edu.br</w:t>
        </w:r>
      </w:hyperlink>
    </w:p>
    <w:p w:rsidR="00122F1F" w:rsidRDefault="00122F1F" w:rsidP="00122F1F">
      <w:pPr>
        <w:pStyle w:val="GFEixo"/>
        <w:rPr>
          <w:lang w:eastAsia="pt-PT"/>
        </w:rPr>
      </w:pPr>
      <w:r>
        <w:rPr>
          <w:lang w:eastAsia="pt-PT"/>
        </w:rPr>
        <w:t xml:space="preserve">Eixo: </w:t>
      </w:r>
      <w:r w:rsidR="00C16758" w:rsidRPr="00C16758">
        <w:rPr>
          <w:b w:val="0"/>
          <w:lang w:eastAsia="pt-PT"/>
        </w:rPr>
        <w:t>GEOTECNOLOGIAS E MODELAGEM ESPACIAL EM GEOGRAFIA FÍSICA</w:t>
      </w:r>
    </w:p>
    <w:p w:rsidR="00122F1F" w:rsidRPr="00C16758" w:rsidRDefault="00C16758" w:rsidP="00C16758">
      <w:pPr>
        <w:pStyle w:val="GFRETI"/>
        <w:ind w:left="0"/>
        <w:rPr>
          <w:b/>
          <w:lang w:eastAsia="pt-PT"/>
        </w:rPr>
      </w:pPr>
      <w:r w:rsidRPr="00C16758">
        <w:rPr>
          <w:b/>
          <w:lang w:eastAsia="pt-PT"/>
        </w:rPr>
        <w:t>RESUMO</w:t>
      </w:r>
    </w:p>
    <w:p w:rsidR="00122F1F" w:rsidRDefault="00122F1F" w:rsidP="00C16758">
      <w:pPr>
        <w:pStyle w:val="GFResumo"/>
        <w:ind w:right="565"/>
        <w:rPr>
          <w:szCs w:val="20"/>
          <w:lang w:eastAsia="pt-PT"/>
        </w:rPr>
      </w:pPr>
      <w:r>
        <w:rPr>
          <w:lang w:eastAsia="pt-PT"/>
        </w:rPr>
        <w:t>A bacia hidrográfica do rio Grande possui expressiva importância para o sistema Furnas Centrais Elétricas na geração de hidroeletricidade e também incide de forma direta nas culturas, economia e turismo do Sul de Minas Gerais. Objetiva-se com esta pesquisa a construção de uma base de dados da rede hidrográfica da bacia hidrográfica afluente ao lago de Furnas, com o intuito subsidiar estudos na temática de hidrogeografia. Com os dados cartográficos adquiridos a partir do Instituto Brasileiro de Geografia e Estatística, bem como da Diretoria do Serviço Geográfico do Exército, iniciou-se o processo de registro de cartas topográficas e vetorização das feições da rede hidrográfica e fotolitos. Como resultados deste trabalho foram registradas 101 cartas topográficas, bem como editadas suas respectivas representações hidrográficas de maneira unifilar.</w:t>
      </w:r>
    </w:p>
    <w:p w:rsidR="00122F1F" w:rsidRDefault="00122F1F" w:rsidP="00C16758">
      <w:pPr>
        <w:tabs>
          <w:tab w:val="left" w:pos="709"/>
          <w:tab w:val="left" w:pos="8505"/>
        </w:tabs>
        <w:spacing w:before="240"/>
        <w:ind w:right="565" w:firstLine="567"/>
        <w:rPr>
          <w:rFonts w:ascii="Times New Roman" w:eastAsia="Times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Palavras-chave: </w:t>
      </w:r>
      <w:r>
        <w:rPr>
          <w:rFonts w:ascii="Times New Roman" w:hAnsi="Times New Roman"/>
          <w:sz w:val="20"/>
        </w:rPr>
        <w:t>Banco de dados espacial, cartografia digital, UHE Furnas</w:t>
      </w:r>
      <w:r>
        <w:rPr>
          <w:rFonts w:ascii="Times New Roman" w:hAnsi="Times New Roman"/>
          <w:b/>
          <w:sz w:val="20"/>
        </w:rPr>
        <w:t>.</w:t>
      </w:r>
    </w:p>
    <w:p w:rsidR="00122F1F" w:rsidRDefault="00122F1F" w:rsidP="00122F1F">
      <w:pPr>
        <w:pStyle w:val="Ttulo1"/>
        <w:rPr>
          <w:rFonts w:ascii="Times" w:hAnsi="Times"/>
        </w:rPr>
      </w:pPr>
      <w:r>
        <w:t>Introdução</w:t>
      </w:r>
    </w:p>
    <w:p w:rsidR="00122F1F" w:rsidRDefault="00122F1F" w:rsidP="00F82E97">
      <w:pPr>
        <w:pStyle w:val="PargrafodaLista"/>
        <w:ind w:firstLine="567"/>
      </w:pPr>
      <w:r>
        <w:t xml:space="preserve">A Usina Hidroelétrica de Furnas (UHE Furnas) foi a primeira construída pelo Sistema Furnas Centrais Elétricas. Localizada no Sul do estado de Minas Gerais, a usina teve sua construção iniciada em 1958 e sua operação iniciou-se em 1963 (FURNAS, 2007). </w:t>
      </w:r>
    </w:p>
    <w:p w:rsidR="00122F1F" w:rsidRDefault="00122F1F" w:rsidP="00F82E97">
      <w:pPr>
        <w:pStyle w:val="PargrafodaLista"/>
        <w:ind w:firstLine="567"/>
      </w:pPr>
      <w:r>
        <w:t>A UHE Furnas está assentada na calha do rio Grande entre os municípios de São José da Barra/MG e São João Batista do Glória/MG, possui 1.340 km² de espelho d’água (na cota 768m acima do nível do mar) e 20,9km³ de volume, caracterizando-se como o sétimo maior espelho d’água do Brasil (MEES, 2016). Seus principais sistemas fluviais afluentes são: rio Grande, rio Sapucaí, rio Verde, rio Machado e rio Jacaré.</w:t>
      </w:r>
    </w:p>
    <w:p w:rsidR="00122F1F" w:rsidRDefault="00122F1F" w:rsidP="00F82E97">
      <w:pPr>
        <w:pStyle w:val="PargrafodaLista"/>
        <w:ind w:firstLine="567"/>
      </w:pPr>
      <w:r>
        <w:t xml:space="preserve">A elaboração de dados cartográficos da bacia hidrográfica a montante do reservatório de Furnas, no alto rio Grande é necessário, pois, subsidia projetos nas mais diferentes esferas de ações, tais como, ao planejamento e gestão dos recursos hídricos, caracterização geomorfométrica, apoio à gestão territorial municipal e regional, monitoramento do uso e cobertura da terra, delimitação de áreas de proteção permanente dentre outros. </w:t>
      </w:r>
    </w:p>
    <w:p w:rsidR="00122F1F" w:rsidRDefault="00122F1F" w:rsidP="00122F1F">
      <w:pPr>
        <w:pStyle w:val="Ttulo1"/>
        <w:rPr>
          <w:sz w:val="22"/>
          <w:szCs w:val="22"/>
        </w:rPr>
      </w:pPr>
      <w:r w:rsidRPr="00122F1F">
        <w:lastRenderedPageBreak/>
        <w:t>Revisão de literatura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A cartografia de base brasileira está a cargo do Instituto Brasileiro de Geografia e Estatística (IBGE) e da Diretoria do Serviço Geográfico do Exército Brasileiro (DSG). O mapeamento sistemático do território nacional fora executado nas escalas 1:1.000.000, 1:500.000, 1:250.000, 1:100.000, 1:50.000 e 1:25.000, principalmente entre as décadas de 1960 e 1970.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Segundo Nogueira (2009), as quatro últimas escalas foram desenvolvidas por aerolevantamento para serem disponibilizadas em papel com o planejamento de ocorrer atualizações periódicas, entretanto não é isso que vem acontecendo.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 xml:space="preserve">A transformação de dados em papel para dados digitais, muitas vezes não seguem um padrão de registro, digitalização, atributação, toponímia e formato. Frequentemente duplicam-se esforços, e consequentemente aumentam-se os custos, sem uniformidade nos procedimentos e na organização dos dados cartográficos digitais (HASENACK e WEBER, 2010). 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O processo de transformação do papel para o formato digital torna-se dispendioso, pois muitas vezes a vetorização não passa por uma análise topológica, não há critérios claros a serem seguidos no momento do procedimento e dificilmente ocorre disponibilização e/ou criação de metadados para a correta utilização desses dados.</w:t>
      </w:r>
    </w:p>
    <w:p w:rsidR="00122F1F" w:rsidRPr="00122F1F" w:rsidRDefault="00122F1F" w:rsidP="00122F1F">
      <w:pPr>
        <w:pStyle w:val="Ttulo1"/>
      </w:pPr>
      <w:r w:rsidRPr="00122F1F">
        <w:t>Objetivos</w:t>
      </w:r>
    </w:p>
    <w:p w:rsidR="00122F1F" w:rsidRDefault="00122F1F" w:rsidP="00122F1F">
      <w:pPr>
        <w:pStyle w:val="Ttulo2"/>
      </w:pPr>
      <w:r>
        <w:t>Objetivo Geral</w:t>
      </w:r>
    </w:p>
    <w:p w:rsidR="00122F1F" w:rsidRDefault="00122F1F" w:rsidP="00F82E97">
      <w:pPr>
        <w:pStyle w:val="PargrafodaLista"/>
        <w:ind w:firstLine="567"/>
      </w:pPr>
      <w:r>
        <w:t>Elaborar uma base de dados digital da rede hidrográfica da bacia hidrográfica do lago de Furnas, com o objetivo de subsidiar pesquisas na temática de hidrogeografia.</w:t>
      </w:r>
    </w:p>
    <w:p w:rsidR="00122F1F" w:rsidRDefault="00122F1F" w:rsidP="00122F1F">
      <w:pPr>
        <w:pStyle w:val="Ttulo2"/>
        <w:rPr>
          <w:sz w:val="24"/>
        </w:rPr>
      </w:pPr>
      <w:r>
        <w:t>Objetivos específicos</w:t>
      </w:r>
    </w:p>
    <w:p w:rsidR="00122F1F" w:rsidRPr="00122F1F" w:rsidRDefault="00122F1F" w:rsidP="00391B5B">
      <w:pPr>
        <w:pStyle w:val="PargrafodaLista"/>
        <w:numPr>
          <w:ilvl w:val="0"/>
          <w:numId w:val="2"/>
        </w:numPr>
        <w:ind w:left="426"/>
      </w:pPr>
      <w:r w:rsidRPr="00122F1F">
        <w:t>Verificar o recobrimento das cartas topográficas em formato digital e papel, na mapoteca digital do IBGE;</w:t>
      </w:r>
    </w:p>
    <w:p w:rsidR="00122F1F" w:rsidRPr="00122F1F" w:rsidRDefault="00122F1F" w:rsidP="00391B5B">
      <w:pPr>
        <w:pStyle w:val="PargrafodaLista"/>
        <w:numPr>
          <w:ilvl w:val="0"/>
          <w:numId w:val="2"/>
        </w:numPr>
        <w:ind w:left="426"/>
      </w:pPr>
      <w:r w:rsidRPr="00122F1F">
        <w:t>Adquirir e registrar as cartas topográficas no formato papel que recobrem a bacia hidrográfica afluente ao lago de Furnas;</w:t>
      </w:r>
    </w:p>
    <w:p w:rsidR="00122F1F" w:rsidRPr="00122F1F" w:rsidRDefault="00122F1F" w:rsidP="00391B5B">
      <w:pPr>
        <w:pStyle w:val="PargrafodaLista"/>
        <w:numPr>
          <w:ilvl w:val="0"/>
          <w:numId w:val="2"/>
        </w:numPr>
        <w:ind w:left="426"/>
      </w:pPr>
      <w:r w:rsidRPr="00122F1F">
        <w:t>Digitalizar a rede hidrográfica das cartas que não possuam recobrimento vetorial;</w:t>
      </w:r>
    </w:p>
    <w:p w:rsidR="00122F1F" w:rsidRPr="00122F1F" w:rsidRDefault="00122F1F" w:rsidP="00391B5B">
      <w:pPr>
        <w:pStyle w:val="PargrafodaLista"/>
        <w:numPr>
          <w:ilvl w:val="0"/>
          <w:numId w:val="2"/>
        </w:numPr>
        <w:ind w:left="426"/>
      </w:pPr>
      <w:r w:rsidRPr="00122F1F">
        <w:t>Definir o traçado da hidrografia unifilar aos dados vetoriais do mapeamento sistemático.</w:t>
      </w:r>
    </w:p>
    <w:p w:rsidR="00122F1F" w:rsidRDefault="00122F1F" w:rsidP="00122F1F">
      <w:pPr>
        <w:pStyle w:val="Ttulo1"/>
        <w:rPr>
          <w:color w:val="000000"/>
          <w:szCs w:val="26"/>
        </w:rPr>
      </w:pPr>
      <w:r w:rsidRPr="00122F1F">
        <w:t>Materiais e métodos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Foi elaborada uma “</w:t>
      </w:r>
      <w:proofErr w:type="spellStart"/>
      <w:r w:rsidRPr="00122F1F">
        <w:t>pré</w:t>
      </w:r>
      <w:proofErr w:type="spellEnd"/>
      <w:r w:rsidRPr="00122F1F">
        <w:t xml:space="preserve">” base de dados cartográficos da área de estudo, tendo como principais fontes (a) a rede hidrográfica ao milionésimo, (b) limites estaduais e municipais, (c) sedes municipais, </w:t>
      </w:r>
      <w:r w:rsidRPr="00122F1F">
        <w:lastRenderedPageBreak/>
        <w:t xml:space="preserve">(d) Ottobacias </w:t>
      </w:r>
      <w:proofErr w:type="gramStart"/>
      <w:r w:rsidRPr="00122F1F">
        <w:t>hidrográficas níveis</w:t>
      </w:r>
      <w:proofErr w:type="gramEnd"/>
      <w:r w:rsidRPr="00122F1F">
        <w:t xml:space="preserve"> 3 e 4 e (d) articulação das cartas topográficas na escala de 1:50.000. Estes dados foram obtidos por meio do servidor de mapas do Ministério do Meio Ambiente (MMA). (</w:t>
      </w:r>
      <w:hyperlink r:id="rId9" w:history="1">
        <w:r w:rsidRPr="00122F1F">
          <w:t>http://mapas.mma.gov.br/i3geo/datadownload.htm</w:t>
        </w:r>
      </w:hyperlink>
      <w:r w:rsidRPr="00122F1F">
        <w:t>). O Sistema de Informação Geográfica utilizado para a elaboração deste trabalho foi o ArcGIS® 10.2.2.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Na primeira etapa da pesquisa, aplicou-se o método de seleção por intersecção entre os arquivos vetoriais da articulação das cartas topográficas na escala de 1:50.000 e do limite da bacia hidrográfica, com o intuito da obtenção do quantitativo de cartas que seriam trabalhadas, bem como sua identificação.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Na segunda etapa foram adquiridas as cartas topográficas em formatos .JPEG (</w:t>
      </w:r>
      <w:hyperlink r:id="rId10" w:history="1">
        <w:r w:rsidRPr="00122F1F">
          <w:t>http://loja.ibge.gov.br/</w:t>
        </w:r>
      </w:hyperlink>
      <w:r w:rsidRPr="00122F1F">
        <w:t>) e vetorial (</w:t>
      </w:r>
      <w:hyperlink r:id="rId11" w:history="1">
        <w:r w:rsidRPr="00122F1F">
          <w:t>http://www.ibge.gov.br/home/geociencias/download/arquivos/index1.shtm</w:t>
        </w:r>
      </w:hyperlink>
      <w:r w:rsidRPr="00122F1F">
        <w:t>), que recobrem a bacia hidrográfica do lago de Furnas. Logo após, seguiu-se a metodologia de registro das cartas proposta pela DSG, que indica a utilização de 17 pontos de controle bem distribuídos e com erro máximo permissível, por ponto de controle, de 0,3mm na escala da carta (15m), tendo sido utilizada a estatística da Raiz do Erro Médio Quadrático (RMSE) para aferição da qualidade do registro. Foi utilizada a projeção Universal Transversa de Mercator (UTM), fuso 23 e datum horizontal Córrego Alegre.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 xml:space="preserve">A terceira etapa consistiu na digitalização em tela das feições da rede hidrográfica no sentido montante-jusante, adotando-se a escala de 1:25.000 e formato </w:t>
      </w:r>
      <w:proofErr w:type="spellStart"/>
      <w:r w:rsidRPr="00122F1F">
        <w:t>Shapefile</w:t>
      </w:r>
      <w:proofErr w:type="spellEnd"/>
      <w:r w:rsidRPr="00122F1F">
        <w:t>©, para as cartas cujo recobrimento vetorial estivesse ausente. A DSG cedeu os fotolitos azuis de doze cartas topográficas restantes sem recobrimento vetorial. O registro destes foram feitos em cima de suas cartas topográficas correspondentes para não somente ter referência espacial, mas que a representação da rede hidrográfica de ambas estivesse o mais próximo possível. Foram distribuídos dez pontos de controle em cada fotolito, tendo como base a localização contida nas cartas topográficas.</w:t>
      </w:r>
    </w:p>
    <w:p w:rsidR="00122F1F" w:rsidRPr="00122F1F" w:rsidRDefault="00122F1F" w:rsidP="00F82E97">
      <w:pPr>
        <w:pStyle w:val="PargrafodaLista"/>
        <w:ind w:firstLine="567"/>
      </w:pPr>
      <w:r w:rsidRPr="00122F1F">
        <w:t xml:space="preserve">Nas doze cartas utilizou-se a vetorização semiautomática por meio do módulo </w:t>
      </w:r>
      <w:proofErr w:type="spellStart"/>
      <w:r w:rsidRPr="00122F1F">
        <w:t>ArcScan</w:t>
      </w:r>
      <w:proofErr w:type="spellEnd"/>
      <w:r w:rsidRPr="00122F1F">
        <w:t>®. Em alguns fotolitos haviam falhas na rede hidrográfica como a descontinuação de rios e córregos e, consequentemente, erros na vetorização, necessitando de poucos ajustes manuais. Após o registro das cartas no datum de Córrego Alegre, todas foram transformadas para SIRGAS2000 adotando os parâmetros de translação X (-206,048m), Y (+168,279m) e Z (-3,823m) de acordo com as normas do IBGE.</w:t>
      </w:r>
    </w:p>
    <w:p w:rsidR="00122F1F" w:rsidRDefault="00122F1F" w:rsidP="00F82E97">
      <w:pPr>
        <w:pStyle w:val="PargrafodaLista"/>
        <w:ind w:firstLine="567"/>
        <w:rPr>
          <w:szCs w:val="24"/>
        </w:rPr>
      </w:pPr>
      <w:r w:rsidRPr="00122F1F">
        <w:t xml:space="preserve">A quarta etapa consistiu no processo de “limpeza” dos vetores, com a retirada de áreas demarcadas como aptas a inundação, toponímia (nomes de rios, córregos e lagos), rios de margem dupla, massas d’água e canais construídos artificialmente, com o intuito de deixar a rede hidrográfica unifilar para que o processo de validação topológica não encontre problemas no momento da sua execução. Já a verificação de conexão de rios e córregos fora executada pelo módulo Topologia em ambiente Geodatabase (comando </w:t>
      </w:r>
      <w:r w:rsidRPr="00F82E97">
        <w:rPr>
          <w:i/>
        </w:rPr>
        <w:t xml:space="preserve">Must </w:t>
      </w:r>
      <w:proofErr w:type="spellStart"/>
      <w:r w:rsidRPr="00F82E97">
        <w:rPr>
          <w:i/>
        </w:rPr>
        <w:t>not</w:t>
      </w:r>
      <w:proofErr w:type="spellEnd"/>
      <w:r w:rsidR="00F82E97" w:rsidRPr="00F82E97">
        <w:rPr>
          <w:i/>
        </w:rPr>
        <w:t xml:space="preserve"> </w:t>
      </w:r>
      <w:proofErr w:type="spellStart"/>
      <w:r w:rsidRPr="00F82E97">
        <w:rPr>
          <w:i/>
        </w:rPr>
        <w:t>Have</w:t>
      </w:r>
      <w:proofErr w:type="spellEnd"/>
      <w:r w:rsidR="00F82E97" w:rsidRPr="00F82E97">
        <w:rPr>
          <w:i/>
        </w:rPr>
        <w:t xml:space="preserve"> </w:t>
      </w:r>
      <w:proofErr w:type="spellStart"/>
      <w:r w:rsidRPr="00F82E97">
        <w:rPr>
          <w:i/>
        </w:rPr>
        <w:t>Dangle</w:t>
      </w:r>
      <w:proofErr w:type="spellEnd"/>
      <w:r w:rsidRPr="00122F1F">
        <w:t>).</w:t>
      </w:r>
    </w:p>
    <w:p w:rsidR="00122F1F" w:rsidRPr="00122F1F" w:rsidRDefault="00122F1F" w:rsidP="00122F1F">
      <w:pPr>
        <w:pStyle w:val="Ttulo1"/>
      </w:pPr>
      <w:r w:rsidRPr="00122F1F">
        <w:lastRenderedPageBreak/>
        <w:t>Resultados</w:t>
      </w:r>
    </w:p>
    <w:p w:rsidR="00122F1F" w:rsidRPr="00122F1F" w:rsidRDefault="00122F1F" w:rsidP="00F82E97">
      <w:pPr>
        <w:pStyle w:val="PargrafodaLista"/>
        <w:ind w:firstLine="567"/>
      </w:pPr>
      <w:r w:rsidRPr="00122F1F">
        <w:t>A Tabela 1 apresenta uma síntese dos resultados obtidos durante a realização deste trabalho, por meio das figuras 1, 2, 3 e 4, representando respectivamente as diversas etapas para a elaboração da base cartográfica.</w:t>
      </w:r>
    </w:p>
    <w:p w:rsidR="00122F1F" w:rsidRPr="00F82E97" w:rsidRDefault="00122F1F" w:rsidP="00C25774">
      <w:pPr>
        <w:pStyle w:val="GFMapa"/>
        <w:rPr>
          <w:b w:val="0"/>
          <w:sz w:val="22"/>
        </w:rPr>
      </w:pPr>
      <w:r w:rsidRPr="00F82E97">
        <w:rPr>
          <w:b w:val="0"/>
          <w:sz w:val="22"/>
        </w:rPr>
        <w:t>Tabela 1 - Resultados da elaboração da base cartográfica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401"/>
        <w:gridCol w:w="2957"/>
      </w:tblGrid>
      <w:tr w:rsidR="00122F1F" w:rsidTr="00F82E97">
        <w:tc>
          <w:tcPr>
            <w:tcW w:w="2810" w:type="dxa"/>
            <w:hideMark/>
          </w:tcPr>
          <w:p w:rsidR="00122F1F" w:rsidRDefault="00122F1F" w:rsidP="00C25774">
            <w:pPr>
              <w:pStyle w:val="GFMapa"/>
              <w:rPr>
                <w:sz w:val="22"/>
              </w:rPr>
            </w:pPr>
            <w:r>
              <w:rPr>
                <w:sz w:val="22"/>
              </w:rPr>
              <w:t>Etapas</w:t>
            </w:r>
          </w:p>
        </w:tc>
        <w:tc>
          <w:tcPr>
            <w:tcW w:w="6476" w:type="dxa"/>
            <w:gridSpan w:val="2"/>
            <w:hideMark/>
          </w:tcPr>
          <w:p w:rsidR="00122F1F" w:rsidRDefault="00122F1F" w:rsidP="00C25774">
            <w:pPr>
              <w:pStyle w:val="GFMapa"/>
              <w:rPr>
                <w:sz w:val="22"/>
              </w:rPr>
            </w:pPr>
            <w:r>
              <w:rPr>
                <w:sz w:val="22"/>
              </w:rPr>
              <w:t>Procedimentos</w:t>
            </w:r>
          </w:p>
        </w:tc>
      </w:tr>
      <w:tr w:rsidR="00122F1F" w:rsidRPr="00F82E97" w:rsidTr="00F82E97">
        <w:tc>
          <w:tcPr>
            <w:tcW w:w="2810" w:type="dxa"/>
            <w:vAlign w:val="center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>Verificação de recobrimento</w:t>
            </w:r>
          </w:p>
        </w:tc>
        <w:tc>
          <w:tcPr>
            <w:tcW w:w="3424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noProof/>
                <w:lang w:eastAsia="pt-BR"/>
              </w:rPr>
              <w:drawing>
                <wp:inline distT="0" distB="0" distL="0" distR="0">
                  <wp:extent cx="1801495" cy="1091565"/>
                  <wp:effectExtent l="0" t="0" r="8255" b="0"/>
                  <wp:docPr id="30" name="Imagem 3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</w:rPr>
              <w:t>Figura 1 - Recobrimento da bacia na articulação 1:50000</w:t>
            </w:r>
          </w:p>
        </w:tc>
        <w:tc>
          <w:tcPr>
            <w:tcW w:w="3052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>A Figura 1 apresenta o resultado da interseção entre a base de dados da articulação na escala de 1:50.000 e a bacia afluente ao lago de Furnas. Foram identificadas ao todo 101 cartas.</w:t>
            </w:r>
          </w:p>
        </w:tc>
      </w:tr>
      <w:tr w:rsidR="00122F1F" w:rsidRPr="00F82E97" w:rsidTr="00F82E97">
        <w:tc>
          <w:tcPr>
            <w:tcW w:w="2810" w:type="dxa"/>
            <w:vAlign w:val="center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>Registro de cartas</w:t>
            </w:r>
          </w:p>
        </w:tc>
        <w:tc>
          <w:tcPr>
            <w:tcW w:w="3424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noProof/>
                <w:lang w:eastAsia="pt-BR"/>
              </w:rPr>
              <w:drawing>
                <wp:inline distT="0" distB="0" distL="0" distR="0">
                  <wp:extent cx="1296670" cy="1078230"/>
                  <wp:effectExtent l="0" t="0" r="0" b="7620"/>
                  <wp:docPr id="29" name="Imagem 2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1F" w:rsidRPr="00F82E97" w:rsidRDefault="00122F1F" w:rsidP="00C25774">
            <w:pPr>
              <w:pStyle w:val="GFMapa"/>
              <w:rPr>
                <w:b w:val="0"/>
              </w:rPr>
            </w:pPr>
            <w:r w:rsidRPr="00F82E97">
              <w:rPr>
                <w:b w:val="0"/>
              </w:rPr>
              <w:t>Figura 2 - Pontos de controle distribuídos na carta topográfica de Alfenas (SF-23-I-I-3)</w:t>
            </w:r>
          </w:p>
        </w:tc>
        <w:tc>
          <w:tcPr>
            <w:tcW w:w="3052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 xml:space="preserve">A Figura 2 apresenta a distribuição dos pontos de controle para o registro das cartas topográficas. No caso específico desta carta obteve-se o RMSE de 2,25 metros.  </w:t>
            </w:r>
          </w:p>
        </w:tc>
      </w:tr>
      <w:tr w:rsidR="00122F1F" w:rsidRPr="00F82E97" w:rsidTr="00F82E97">
        <w:tc>
          <w:tcPr>
            <w:tcW w:w="2810" w:type="dxa"/>
            <w:vAlign w:val="center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>Digitalização hidrográfica</w:t>
            </w:r>
          </w:p>
        </w:tc>
        <w:tc>
          <w:tcPr>
            <w:tcW w:w="3424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noProof/>
                <w:lang w:eastAsia="pt-BR"/>
              </w:rPr>
              <w:drawing>
                <wp:inline distT="0" distB="0" distL="0" distR="0">
                  <wp:extent cx="1801495" cy="1078230"/>
                  <wp:effectExtent l="0" t="0" r="8255" b="7620"/>
                  <wp:docPr id="28" name="Imagem 2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7" r="9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</w:rPr>
              <w:t xml:space="preserve">Figura </w:t>
            </w:r>
            <w:proofErr w:type="gramStart"/>
            <w:r w:rsidRPr="00F82E97">
              <w:rPr>
                <w:b w:val="0"/>
              </w:rPr>
              <w:t>3  -</w:t>
            </w:r>
            <w:proofErr w:type="gramEnd"/>
            <w:r w:rsidRPr="00F82E97">
              <w:rPr>
                <w:b w:val="0"/>
              </w:rPr>
              <w:t xml:space="preserve"> Vetorização da drenagem da carta Alagoa (SF-23-Z-A-I-2)</w:t>
            </w:r>
          </w:p>
        </w:tc>
        <w:tc>
          <w:tcPr>
            <w:tcW w:w="3052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"/>
                <w:szCs w:val="2"/>
              </w:rPr>
            </w:pPr>
            <w:r w:rsidRPr="00F82E97">
              <w:rPr>
                <w:b w:val="0"/>
                <w:sz w:val="22"/>
              </w:rPr>
              <w:t>A Figura 3 apresenta o processo de vetorização da drenagem. Ao todo 17 cartas não possuíam recobrimento vetorial, 5 foram vetorizadas manualmente e 12 de forma semiautomática.</w:t>
            </w:r>
          </w:p>
        </w:tc>
      </w:tr>
      <w:tr w:rsidR="00122F1F" w:rsidRPr="00F82E97" w:rsidTr="00F82E97">
        <w:tc>
          <w:tcPr>
            <w:tcW w:w="2806" w:type="dxa"/>
            <w:vAlign w:val="center"/>
            <w:hideMark/>
          </w:tcPr>
          <w:p w:rsidR="00122F1F" w:rsidRPr="00F82E97" w:rsidRDefault="00F82E97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 xml:space="preserve"> </w:t>
            </w:r>
            <w:r w:rsidR="00122F1F" w:rsidRPr="00F82E97">
              <w:rPr>
                <w:b w:val="0"/>
                <w:sz w:val="22"/>
              </w:rPr>
              <w:t>“Limpeza” vetorial</w:t>
            </w:r>
          </w:p>
        </w:tc>
        <w:tc>
          <w:tcPr>
            <w:tcW w:w="3426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noProof/>
                <w:lang w:eastAsia="pt-BR"/>
              </w:rPr>
              <w:drawing>
                <wp:inline distT="0" distB="0" distL="0" distR="0">
                  <wp:extent cx="1801495" cy="1078230"/>
                  <wp:effectExtent l="0" t="0" r="8255" b="7620"/>
                  <wp:docPr id="27" name="Imagem 2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F1F" w:rsidRPr="00F82E97" w:rsidRDefault="00122F1F" w:rsidP="00C25774">
            <w:pPr>
              <w:pStyle w:val="GFMapa"/>
              <w:rPr>
                <w:b w:val="0"/>
              </w:rPr>
            </w:pPr>
            <w:r w:rsidRPr="00F82E97">
              <w:rPr>
                <w:b w:val="0"/>
              </w:rPr>
              <w:t>Figura 4 - Retirada de áreas de inundação e toponímias durante a “limpeza vetorial” na carta Bom Jardim de Minas (SF-23-X-C-V-4)</w:t>
            </w:r>
          </w:p>
        </w:tc>
        <w:tc>
          <w:tcPr>
            <w:tcW w:w="3054" w:type="dxa"/>
            <w:hideMark/>
          </w:tcPr>
          <w:p w:rsidR="00122F1F" w:rsidRPr="00F82E97" w:rsidRDefault="00122F1F" w:rsidP="00C25774">
            <w:pPr>
              <w:pStyle w:val="GFMapa"/>
              <w:rPr>
                <w:b w:val="0"/>
                <w:sz w:val="22"/>
              </w:rPr>
            </w:pPr>
            <w:r w:rsidRPr="00F82E97">
              <w:rPr>
                <w:b w:val="0"/>
                <w:sz w:val="22"/>
              </w:rPr>
              <w:t xml:space="preserve">A Figura 4 apresenta o procedimento de retirada de áreas sujeitas a inundação e toponímias, com a criação de um arquivo vetorial unifilar. Posteriormente realizou-se a validação topológica para identificação de inconsistências de conectividade. </w:t>
            </w:r>
          </w:p>
        </w:tc>
      </w:tr>
    </w:tbl>
    <w:p w:rsidR="00122F1F" w:rsidRPr="00122F1F" w:rsidRDefault="00122F1F" w:rsidP="00122F1F">
      <w:pPr>
        <w:pStyle w:val="Ttulo1"/>
      </w:pPr>
      <w:r w:rsidRPr="00122F1F">
        <w:lastRenderedPageBreak/>
        <w:t>Considerações finais</w:t>
      </w:r>
    </w:p>
    <w:p w:rsidR="00122F1F" w:rsidRDefault="00122F1F" w:rsidP="003F5D2A">
      <w:pPr>
        <w:pStyle w:val="PargrafodaLista"/>
        <w:ind w:firstLine="567"/>
      </w:pPr>
      <w:r>
        <w:t>Após am</w:t>
      </w:r>
      <w:bookmarkStart w:id="0" w:name="_GoBack"/>
      <w:bookmarkEnd w:id="0"/>
      <w:r>
        <w:t>plo esforço na edição de dados cartográficos da rede hidrográfica das 101 cartas topográficas que recobrem a bacia afluente ao lago de Furnas, gerou-se produtos que irão compor uma base georreferenciada da área de estudo, contendo a rede hidrográfica unifilar e massas d’água.</w:t>
      </w:r>
    </w:p>
    <w:p w:rsidR="00122F1F" w:rsidRDefault="00122F1F" w:rsidP="003F5D2A">
      <w:pPr>
        <w:pStyle w:val="PargrafodaLista"/>
        <w:ind w:firstLine="567"/>
      </w:pPr>
      <w:r>
        <w:t>Pretende-se também a partir destes dados analisar e monitorar índices fluviométricos e pluviométricos da área, subsidiando o planejamento e gestão dos recursos hídricos neste importante manancial, além de servir para estudos mais aprofundados acerca da dinâmica hidrológica da área de estudo.</w:t>
      </w:r>
    </w:p>
    <w:p w:rsidR="00122F1F" w:rsidRDefault="00122F1F" w:rsidP="00122F1F">
      <w:pPr>
        <w:pStyle w:val="Ttulo1"/>
      </w:pPr>
      <w:r>
        <w:t>Bibliografia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>FUNDAÇÃO INSTITUTO BRASILEIRO DE GEOGRAFIA E ESTATÍSTICA - IBGE. Loja IBGE. Disponível em: &lt;</w:t>
      </w:r>
      <w:hyperlink r:id="rId16" w:history="1">
        <w:r w:rsidRPr="00F82E97">
          <w:rPr>
            <w:rStyle w:val="Hyperlink"/>
            <w:color w:val="auto"/>
            <w:u w:val="none"/>
          </w:rPr>
          <w:t>http://loja.ibge.gov.br/</w:t>
        </w:r>
      </w:hyperlink>
      <w:r w:rsidRPr="00F82E97">
        <w:t>&gt;. Acesso em: 14 março 2017.</w:t>
      </w:r>
    </w:p>
    <w:p w:rsidR="00F82E97" w:rsidRDefault="00F82E97" w:rsidP="00122F1F">
      <w:pPr>
        <w:pStyle w:val="PargrafodaLista"/>
        <w:spacing w:line="240" w:lineRule="auto"/>
      </w:pPr>
      <w:r w:rsidRPr="00F82E97">
        <w:t>______. Geociências. Disponível em: &lt;</w:t>
      </w:r>
      <w:hyperlink r:id="rId17" w:history="1">
        <w:r w:rsidRPr="00F82E97">
          <w:rPr>
            <w:rStyle w:val="Hyperlink"/>
            <w:color w:val="auto"/>
            <w:u w:val="none"/>
          </w:rPr>
          <w:t>http://www.ibge.gov.br/home/geociencias/download/arquivos/index1.shtm</w:t>
        </w:r>
      </w:hyperlink>
      <w:r w:rsidRPr="00F82E97">
        <w:t>&gt;. Acesso em: 14 março 2017.</w:t>
      </w:r>
    </w:p>
    <w:p w:rsidR="00F82E97" w:rsidRPr="00F82E97" w:rsidRDefault="00F82E97" w:rsidP="00F82E97">
      <w:pPr>
        <w:pStyle w:val="PargrafodaLista"/>
        <w:spacing w:line="240" w:lineRule="auto"/>
      </w:pPr>
      <w:r w:rsidRPr="00F82E97">
        <w:t>______. Resolução do Presidente Nº 1/2005. Altera a caracterização do Sistema Geodésico Brasileiro. Rio de Janeiro, 2005.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>HASENACK, H.; WEBER, E. Base Cartográfica Vetorial Contínua do Rio Grande do Sul. 1 edição. Porto Alegre. Editora da UFRGS, 2010.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>MEES, A. Qualidade de água em reservatórios. Unidade I. Brasília: ANA, 2016.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 xml:space="preserve">MINISTÉRIO DO MEIO AMBIENTE. </w:t>
      </w:r>
      <w:proofErr w:type="gramStart"/>
      <w:r w:rsidRPr="00F82E97">
        <w:t>i</w:t>
      </w:r>
      <w:proofErr w:type="gramEnd"/>
      <w:r w:rsidRPr="00F82E97">
        <w:t>3GEO – Geoprocessamento. Disponível em: &lt;</w:t>
      </w:r>
      <w:hyperlink r:id="rId18" w:history="1">
        <w:r w:rsidRPr="00F82E97">
          <w:rPr>
            <w:rStyle w:val="Hyperlink"/>
            <w:color w:val="auto"/>
            <w:u w:val="none"/>
          </w:rPr>
          <w:t>http://mapas.mma.gov.br/i3geo</w:t>
        </w:r>
      </w:hyperlink>
      <w:r w:rsidRPr="00F82E97">
        <w:t>&gt;. Acesso em: 14 março 2017.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 xml:space="preserve">NOGUEIRA, Ruth E. Cartografia: representação, comunicação e visualização de dados espaciais. 3. edição revisada e ampliada. Florianópolis. Editora da UFSC, 2009. </w:t>
      </w:r>
    </w:p>
    <w:p w:rsidR="00F82E97" w:rsidRPr="00F82E97" w:rsidRDefault="00F82E97" w:rsidP="00122F1F">
      <w:pPr>
        <w:pStyle w:val="PargrafodaLista"/>
        <w:spacing w:line="240" w:lineRule="auto"/>
      </w:pPr>
      <w:r w:rsidRPr="00F82E97">
        <w:t>FURNAS. Revista Furnas: Edição Especial - 50 anos de Furnas. Rio de Janeiro. Furnas, 2007.</w:t>
      </w:r>
    </w:p>
    <w:p w:rsidR="00122F1F" w:rsidRPr="00F82E97" w:rsidRDefault="00122F1F" w:rsidP="0081419A">
      <w:pPr>
        <w:pStyle w:val="GFTtulo"/>
        <w:rPr>
          <w:sz w:val="22"/>
          <w:szCs w:val="22"/>
        </w:rPr>
      </w:pPr>
    </w:p>
    <w:sectPr w:rsidR="00122F1F" w:rsidRPr="00F82E97" w:rsidSect="00C16758">
      <w:headerReference w:type="default" r:id="rId19"/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EE" w:rsidRDefault="006A4FEE" w:rsidP="00A34A05">
      <w:pPr>
        <w:spacing w:after="0" w:line="240" w:lineRule="auto"/>
      </w:pPr>
      <w:r>
        <w:separator/>
      </w:r>
    </w:p>
  </w:endnote>
  <w:endnote w:type="continuationSeparator" w:id="0">
    <w:p w:rsidR="006A4FEE" w:rsidRDefault="006A4FEE" w:rsidP="00A3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4284047"/>
      <w:docPartObj>
        <w:docPartGallery w:val="Page Numbers (Bottom of Page)"/>
        <w:docPartUnique/>
      </w:docPartObj>
    </w:sdtPr>
    <w:sdtEndPr/>
    <w:sdtContent>
      <w:p w:rsidR="00365B4C" w:rsidRDefault="00F30AC3">
        <w:pPr>
          <w:pStyle w:val="Rodap"/>
          <w:jc w:val="right"/>
        </w:pPr>
        <w:r>
          <w:fldChar w:fldCharType="begin"/>
        </w:r>
        <w:r w:rsidR="00365B4C">
          <w:instrText>PAGE   \* MERGEFORMAT</w:instrText>
        </w:r>
        <w:r>
          <w:fldChar w:fldCharType="separate"/>
        </w:r>
        <w:r w:rsidR="003F5D2A">
          <w:rPr>
            <w:noProof/>
          </w:rPr>
          <w:t>5</w:t>
        </w:r>
        <w:r>
          <w:fldChar w:fldCharType="end"/>
        </w:r>
      </w:p>
    </w:sdtContent>
  </w:sdt>
  <w:p w:rsidR="00365B4C" w:rsidRDefault="00365B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EE" w:rsidRDefault="006A4FEE" w:rsidP="00A34A05">
      <w:pPr>
        <w:spacing w:after="0" w:line="240" w:lineRule="auto"/>
      </w:pPr>
      <w:r>
        <w:separator/>
      </w:r>
    </w:p>
  </w:footnote>
  <w:footnote w:type="continuationSeparator" w:id="0">
    <w:p w:rsidR="006A4FEE" w:rsidRDefault="006A4FEE" w:rsidP="00A3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A05" w:rsidRDefault="00A34A05" w:rsidP="00A34A05">
    <w:pPr>
      <w:pStyle w:val="Cabealho"/>
      <w:framePr w:wrap="none" w:vAnchor="text" w:hAnchor="page" w:x="10612" w:y="197"/>
      <w:rPr>
        <w:rStyle w:val="Nmerodepgina"/>
      </w:rPr>
    </w:pPr>
  </w:p>
  <w:p w:rsidR="00A34A05" w:rsidRDefault="00365B4C" w:rsidP="00A34A05">
    <w:pPr>
      <w:pStyle w:val="Cabealho"/>
      <w:ind w:right="360"/>
    </w:pPr>
    <w:r>
      <w:rPr>
        <w:rFonts w:ascii="Arial" w:hAnsi="Arial" w:cs="Arial"/>
        <w:i/>
        <w:noProof/>
        <w:color w:val="262626"/>
        <w:sz w:val="16"/>
        <w:szCs w:val="16"/>
        <w:lang w:eastAsia="pt-BR"/>
      </w:rPr>
      <w:drawing>
        <wp:inline distT="0" distB="0" distL="0" distR="0">
          <wp:extent cx="5760085" cy="647415"/>
          <wp:effectExtent l="0" t="0" r="0" b="635"/>
          <wp:docPr id="8" name="Imagem 8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F0E"/>
    <w:multiLevelType w:val="multilevel"/>
    <w:tmpl w:val="2858240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97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EC3C75"/>
    <w:multiLevelType w:val="hybridMultilevel"/>
    <w:tmpl w:val="41141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4"/>
    <w:rsid w:val="000039B3"/>
    <w:rsid w:val="00005B78"/>
    <w:rsid w:val="0000606C"/>
    <w:rsid w:val="00014489"/>
    <w:rsid w:val="00041930"/>
    <w:rsid w:val="00042D82"/>
    <w:rsid w:val="00046939"/>
    <w:rsid w:val="00085D43"/>
    <w:rsid w:val="000913A0"/>
    <w:rsid w:val="000A5320"/>
    <w:rsid w:val="000C07DB"/>
    <w:rsid w:val="000D6958"/>
    <w:rsid w:val="000E4C98"/>
    <w:rsid w:val="000E5170"/>
    <w:rsid w:val="000E606E"/>
    <w:rsid w:val="000E60DF"/>
    <w:rsid w:val="00113929"/>
    <w:rsid w:val="00122F1F"/>
    <w:rsid w:val="00126B9D"/>
    <w:rsid w:val="001450CF"/>
    <w:rsid w:val="001504FC"/>
    <w:rsid w:val="00165292"/>
    <w:rsid w:val="00167917"/>
    <w:rsid w:val="0017546C"/>
    <w:rsid w:val="00187BB6"/>
    <w:rsid w:val="0019206E"/>
    <w:rsid w:val="00194D75"/>
    <w:rsid w:val="001A1814"/>
    <w:rsid w:val="001C5256"/>
    <w:rsid w:val="001C7033"/>
    <w:rsid w:val="001D22DF"/>
    <w:rsid w:val="001F5414"/>
    <w:rsid w:val="00200E7F"/>
    <w:rsid w:val="002045D3"/>
    <w:rsid w:val="00205414"/>
    <w:rsid w:val="00235463"/>
    <w:rsid w:val="00255047"/>
    <w:rsid w:val="00256929"/>
    <w:rsid w:val="00276DD5"/>
    <w:rsid w:val="00293FBD"/>
    <w:rsid w:val="002A034D"/>
    <w:rsid w:val="002A6FE1"/>
    <w:rsid w:val="0030042E"/>
    <w:rsid w:val="00304BFB"/>
    <w:rsid w:val="00307F65"/>
    <w:rsid w:val="00322809"/>
    <w:rsid w:val="00342E1B"/>
    <w:rsid w:val="00365B4C"/>
    <w:rsid w:val="00365F92"/>
    <w:rsid w:val="00382E19"/>
    <w:rsid w:val="00385017"/>
    <w:rsid w:val="00391B5B"/>
    <w:rsid w:val="00397EF3"/>
    <w:rsid w:val="003A46AD"/>
    <w:rsid w:val="003B0D56"/>
    <w:rsid w:val="003C65F1"/>
    <w:rsid w:val="003D0C9F"/>
    <w:rsid w:val="003F5D2A"/>
    <w:rsid w:val="0040031D"/>
    <w:rsid w:val="00414674"/>
    <w:rsid w:val="0042242F"/>
    <w:rsid w:val="0043585C"/>
    <w:rsid w:val="004465C3"/>
    <w:rsid w:val="004744E9"/>
    <w:rsid w:val="004A7C2F"/>
    <w:rsid w:val="004B2770"/>
    <w:rsid w:val="004E1B67"/>
    <w:rsid w:val="005067D7"/>
    <w:rsid w:val="00524D2F"/>
    <w:rsid w:val="00550E0C"/>
    <w:rsid w:val="00561B99"/>
    <w:rsid w:val="00571241"/>
    <w:rsid w:val="005740A8"/>
    <w:rsid w:val="00585991"/>
    <w:rsid w:val="005A1E25"/>
    <w:rsid w:val="005B36E9"/>
    <w:rsid w:val="005C14B5"/>
    <w:rsid w:val="005E3B46"/>
    <w:rsid w:val="005F696B"/>
    <w:rsid w:val="00602567"/>
    <w:rsid w:val="006034F9"/>
    <w:rsid w:val="006243A1"/>
    <w:rsid w:val="00643256"/>
    <w:rsid w:val="006432A4"/>
    <w:rsid w:val="00670C73"/>
    <w:rsid w:val="0068184A"/>
    <w:rsid w:val="00685F0E"/>
    <w:rsid w:val="006A4FEE"/>
    <w:rsid w:val="006B093C"/>
    <w:rsid w:val="006C5C42"/>
    <w:rsid w:val="006D6037"/>
    <w:rsid w:val="006E0E75"/>
    <w:rsid w:val="006E3BE2"/>
    <w:rsid w:val="006E4A84"/>
    <w:rsid w:val="006E612A"/>
    <w:rsid w:val="006F6F30"/>
    <w:rsid w:val="00716E7B"/>
    <w:rsid w:val="007318CE"/>
    <w:rsid w:val="00747128"/>
    <w:rsid w:val="00761446"/>
    <w:rsid w:val="00772F14"/>
    <w:rsid w:val="00786674"/>
    <w:rsid w:val="007B3DD6"/>
    <w:rsid w:val="0081419A"/>
    <w:rsid w:val="00866A26"/>
    <w:rsid w:val="00880D5F"/>
    <w:rsid w:val="00881677"/>
    <w:rsid w:val="00882128"/>
    <w:rsid w:val="008C2B34"/>
    <w:rsid w:val="008C41CE"/>
    <w:rsid w:val="008D18E5"/>
    <w:rsid w:val="008F7CF4"/>
    <w:rsid w:val="00912C59"/>
    <w:rsid w:val="00915E00"/>
    <w:rsid w:val="00931224"/>
    <w:rsid w:val="00936D2B"/>
    <w:rsid w:val="00944488"/>
    <w:rsid w:val="00971DCA"/>
    <w:rsid w:val="00973F71"/>
    <w:rsid w:val="00986501"/>
    <w:rsid w:val="0099197C"/>
    <w:rsid w:val="009942D0"/>
    <w:rsid w:val="00994D4F"/>
    <w:rsid w:val="009A05B9"/>
    <w:rsid w:val="009A1D14"/>
    <w:rsid w:val="009A6331"/>
    <w:rsid w:val="009B61E7"/>
    <w:rsid w:val="009B74FF"/>
    <w:rsid w:val="009D32E2"/>
    <w:rsid w:val="00A015C2"/>
    <w:rsid w:val="00A238A7"/>
    <w:rsid w:val="00A26FA6"/>
    <w:rsid w:val="00A34A05"/>
    <w:rsid w:val="00A40DD1"/>
    <w:rsid w:val="00A46B14"/>
    <w:rsid w:val="00A50352"/>
    <w:rsid w:val="00A5663F"/>
    <w:rsid w:val="00A67613"/>
    <w:rsid w:val="00A70126"/>
    <w:rsid w:val="00A855A1"/>
    <w:rsid w:val="00A8770E"/>
    <w:rsid w:val="00A963C2"/>
    <w:rsid w:val="00AA605F"/>
    <w:rsid w:val="00AB1B7C"/>
    <w:rsid w:val="00AB2A63"/>
    <w:rsid w:val="00AC7DF3"/>
    <w:rsid w:val="00AE5272"/>
    <w:rsid w:val="00AE52E5"/>
    <w:rsid w:val="00AE6C00"/>
    <w:rsid w:val="00AF5E64"/>
    <w:rsid w:val="00B12BB5"/>
    <w:rsid w:val="00B30792"/>
    <w:rsid w:val="00B33DA7"/>
    <w:rsid w:val="00B42888"/>
    <w:rsid w:val="00B47027"/>
    <w:rsid w:val="00B508C4"/>
    <w:rsid w:val="00B5179C"/>
    <w:rsid w:val="00B660B8"/>
    <w:rsid w:val="00B756E7"/>
    <w:rsid w:val="00BB0745"/>
    <w:rsid w:val="00BB396D"/>
    <w:rsid w:val="00BB3C76"/>
    <w:rsid w:val="00BE7219"/>
    <w:rsid w:val="00C16758"/>
    <w:rsid w:val="00C22B22"/>
    <w:rsid w:val="00C25774"/>
    <w:rsid w:val="00C353F6"/>
    <w:rsid w:val="00C44F58"/>
    <w:rsid w:val="00C52670"/>
    <w:rsid w:val="00C578F3"/>
    <w:rsid w:val="00C70779"/>
    <w:rsid w:val="00C92ADF"/>
    <w:rsid w:val="00CC5BDF"/>
    <w:rsid w:val="00D06FB8"/>
    <w:rsid w:val="00D07934"/>
    <w:rsid w:val="00D1603F"/>
    <w:rsid w:val="00D2752E"/>
    <w:rsid w:val="00D30E79"/>
    <w:rsid w:val="00D9104B"/>
    <w:rsid w:val="00DA2B1E"/>
    <w:rsid w:val="00DA707C"/>
    <w:rsid w:val="00DD1462"/>
    <w:rsid w:val="00DD1B2A"/>
    <w:rsid w:val="00DF5BE7"/>
    <w:rsid w:val="00E15989"/>
    <w:rsid w:val="00E20663"/>
    <w:rsid w:val="00E2082C"/>
    <w:rsid w:val="00E21C5A"/>
    <w:rsid w:val="00E35464"/>
    <w:rsid w:val="00E65CD9"/>
    <w:rsid w:val="00E665AC"/>
    <w:rsid w:val="00EA1871"/>
    <w:rsid w:val="00EA33BE"/>
    <w:rsid w:val="00EA3791"/>
    <w:rsid w:val="00EC5250"/>
    <w:rsid w:val="00ED0977"/>
    <w:rsid w:val="00EF039F"/>
    <w:rsid w:val="00EF28BC"/>
    <w:rsid w:val="00F149BA"/>
    <w:rsid w:val="00F16B10"/>
    <w:rsid w:val="00F30AC3"/>
    <w:rsid w:val="00F551DF"/>
    <w:rsid w:val="00F6542B"/>
    <w:rsid w:val="00F71B13"/>
    <w:rsid w:val="00F82E97"/>
    <w:rsid w:val="00F95FD4"/>
    <w:rsid w:val="00FA1701"/>
    <w:rsid w:val="00FA4AD0"/>
    <w:rsid w:val="00FA777E"/>
    <w:rsid w:val="00FB6DFD"/>
    <w:rsid w:val="00FC0AD2"/>
    <w:rsid w:val="00FD5ECC"/>
    <w:rsid w:val="00FD6715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4AB2"/>
  <w15:docId w15:val="{44A2C2E5-FAEB-4477-A11C-3A0565B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E7"/>
  </w:style>
  <w:style w:type="paragraph" w:styleId="Ttulo1">
    <w:name w:val="heading 1"/>
    <w:aliases w:val="GF_Titulo 1"/>
    <w:basedOn w:val="Normal"/>
    <w:next w:val="PargrafodaLista"/>
    <w:link w:val="Ttulo1Char"/>
    <w:uiPriority w:val="9"/>
    <w:qFormat/>
    <w:rsid w:val="0043585C"/>
    <w:pPr>
      <w:keepNext/>
      <w:keepLines/>
      <w:numPr>
        <w:numId w:val="1"/>
      </w:numPr>
      <w:spacing w:before="480" w:after="24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aliases w:val="GF_Titluo2"/>
    <w:basedOn w:val="Normal"/>
    <w:next w:val="Normal"/>
    <w:link w:val="Ttulo2Char"/>
    <w:uiPriority w:val="9"/>
    <w:unhideWhenUsed/>
    <w:qFormat/>
    <w:rsid w:val="00276DD5"/>
    <w:pPr>
      <w:keepNext/>
      <w:keepLines/>
      <w:numPr>
        <w:ilvl w:val="1"/>
        <w:numId w:val="1"/>
      </w:numPr>
      <w:spacing w:before="120" w:after="120" w:line="240" w:lineRule="auto"/>
      <w:ind w:left="0" w:firstLine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6DFD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B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7B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B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B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B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B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045D3"/>
    <w:pPr>
      <w:spacing w:after="100" w:afterAutospacing="1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045D3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1Char">
    <w:name w:val="Título 1 Char"/>
    <w:aliases w:val="GF_Titulo 1 Char"/>
    <w:basedOn w:val="Fontepargpadro"/>
    <w:link w:val="Ttulo1"/>
    <w:uiPriority w:val="9"/>
    <w:rsid w:val="0043585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aliases w:val="GF_Texto"/>
    <w:basedOn w:val="Normal"/>
    <w:link w:val="PargrafodaListaChar"/>
    <w:uiPriority w:val="34"/>
    <w:qFormat/>
    <w:rsid w:val="0043585C"/>
    <w:pPr>
      <w:spacing w:after="120" w:line="360" w:lineRule="auto"/>
      <w:jc w:val="both"/>
    </w:pPr>
    <w:rPr>
      <w:rFonts w:ascii="Times New Roman" w:hAnsi="Times New Roman"/>
    </w:rPr>
  </w:style>
  <w:style w:type="character" w:customStyle="1" w:styleId="Ttulo2Char">
    <w:name w:val="Título 2 Char"/>
    <w:aliases w:val="GF_Titluo2 Char"/>
    <w:basedOn w:val="Fontepargpadro"/>
    <w:link w:val="Ttulo2"/>
    <w:uiPriority w:val="9"/>
    <w:rsid w:val="00276DD5"/>
    <w:rPr>
      <w:rFonts w:ascii="Times New Roman" w:eastAsiaTheme="majorEastAsia" w:hAnsi="Times New Roman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B6DFD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7B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7B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7B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7B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7B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7B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aliases w:val="GF_Autores"/>
    <w:link w:val="SemEspaamentoChar"/>
    <w:uiPriority w:val="1"/>
    <w:qFormat/>
    <w:rsid w:val="0043585C"/>
    <w:pPr>
      <w:spacing w:before="240" w:after="240" w:line="240" w:lineRule="auto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146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D146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D146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D146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DD14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A05"/>
  </w:style>
  <w:style w:type="character" w:styleId="Nmerodepgina">
    <w:name w:val="page number"/>
    <w:basedOn w:val="Fontepargpadro"/>
    <w:uiPriority w:val="99"/>
    <w:semiHidden/>
    <w:unhideWhenUsed/>
    <w:rsid w:val="00A34A05"/>
  </w:style>
  <w:style w:type="paragraph" w:styleId="Rodap">
    <w:name w:val="footer"/>
    <w:basedOn w:val="Normal"/>
    <w:link w:val="Rodap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A05"/>
  </w:style>
  <w:style w:type="paragraph" w:styleId="Bibliografia">
    <w:name w:val="Bibliography"/>
    <w:basedOn w:val="Normal"/>
    <w:next w:val="Normal"/>
    <w:uiPriority w:val="37"/>
    <w:unhideWhenUsed/>
    <w:rsid w:val="00772F14"/>
    <w:pPr>
      <w:spacing w:before="60" w:after="6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E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450CF"/>
  </w:style>
  <w:style w:type="paragraph" w:customStyle="1" w:styleId="GFMapa">
    <w:name w:val="GF_Mapa"/>
    <w:basedOn w:val="PargrafodaLista"/>
    <w:link w:val="GFMapaChar"/>
    <w:qFormat/>
    <w:rsid w:val="00F16B10"/>
    <w:pPr>
      <w:spacing w:after="0" w:line="240" w:lineRule="auto"/>
      <w:jc w:val="center"/>
    </w:pPr>
    <w:rPr>
      <w:b/>
      <w:sz w:val="20"/>
    </w:rPr>
  </w:style>
  <w:style w:type="character" w:customStyle="1" w:styleId="PargrafodaListaChar">
    <w:name w:val="Parágrafo da Lista Char"/>
    <w:aliases w:val="GF_Texto Char"/>
    <w:basedOn w:val="Fontepargpadro"/>
    <w:link w:val="PargrafodaLista"/>
    <w:uiPriority w:val="34"/>
    <w:rsid w:val="0043585C"/>
    <w:rPr>
      <w:rFonts w:ascii="Times New Roman" w:hAnsi="Times New Roman"/>
    </w:rPr>
  </w:style>
  <w:style w:type="character" w:customStyle="1" w:styleId="GFMapaChar">
    <w:name w:val="GF_Mapa Char"/>
    <w:basedOn w:val="PargrafodaListaChar"/>
    <w:link w:val="GFMapa"/>
    <w:rsid w:val="00F16B10"/>
    <w:rPr>
      <w:rFonts w:ascii="Arial" w:hAnsi="Arial"/>
      <w:b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A015C2"/>
    <w:pPr>
      <w:spacing w:after="0"/>
      <w:ind w:right="45"/>
      <w:jc w:val="both"/>
    </w:pPr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descriptionChar">
    <w:name w:val="footnote description Char"/>
    <w:link w:val="footnotedescription"/>
    <w:rsid w:val="00A015C2"/>
    <w:rPr>
      <w:rFonts w:ascii="Calibri" w:eastAsia="Calibri" w:hAnsi="Calibri" w:cs="Calibri"/>
      <w:color w:val="181717"/>
      <w:sz w:val="1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015C2"/>
    <w:pPr>
      <w:spacing w:before="200" w:after="160"/>
      <w:ind w:left="864" w:right="864"/>
      <w:jc w:val="right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A015C2"/>
    <w:rPr>
      <w:rFonts w:ascii="Arial" w:hAnsi="Arial"/>
      <w:i/>
      <w:iCs/>
      <w:color w:val="404040" w:themeColor="text1" w:themeTint="BF"/>
      <w:sz w:val="20"/>
    </w:rPr>
  </w:style>
  <w:style w:type="paragraph" w:customStyle="1" w:styleId="GFResumo">
    <w:name w:val="GF_Resumo"/>
    <w:basedOn w:val="PargrafodaLista"/>
    <w:link w:val="GFResumoChar"/>
    <w:qFormat/>
    <w:rsid w:val="0043585C"/>
    <w:pPr>
      <w:spacing w:line="240" w:lineRule="auto"/>
      <w:ind w:left="567" w:right="282"/>
    </w:pPr>
    <w:rPr>
      <w:sz w:val="20"/>
    </w:rPr>
  </w:style>
  <w:style w:type="character" w:customStyle="1" w:styleId="GFResumoChar">
    <w:name w:val="GF_Resumo Char"/>
    <w:basedOn w:val="PargrafodaListaChar"/>
    <w:link w:val="GFResumo"/>
    <w:rsid w:val="0043585C"/>
    <w:rPr>
      <w:rFonts w:ascii="Times New Roman" w:hAnsi="Times New Roman"/>
      <w:sz w:val="20"/>
    </w:rPr>
  </w:style>
  <w:style w:type="character" w:customStyle="1" w:styleId="footnotemark">
    <w:name w:val="footnote mark"/>
    <w:hidden/>
    <w:rsid w:val="00042D82"/>
    <w:rPr>
      <w:rFonts w:ascii="Calibri" w:eastAsia="Calibri" w:hAnsi="Calibri" w:cs="Calibri"/>
      <w:color w:val="181717"/>
      <w:sz w:val="18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B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B2A"/>
    <w:rPr>
      <w:sz w:val="20"/>
      <w:szCs w:val="20"/>
    </w:rPr>
  </w:style>
  <w:style w:type="table" w:customStyle="1" w:styleId="TableGrid">
    <w:name w:val="TableGrid"/>
    <w:rsid w:val="00DD1B2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D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FTtulo">
    <w:name w:val="GF_Título"/>
    <w:basedOn w:val="Ttulo"/>
    <w:link w:val="GFTtuloChar"/>
    <w:qFormat/>
    <w:rsid w:val="009B61E7"/>
  </w:style>
  <w:style w:type="paragraph" w:customStyle="1" w:styleId="GFDepatamentos">
    <w:name w:val="GF_Depatamentos"/>
    <w:basedOn w:val="PargrafodaLista"/>
    <w:link w:val="GFDepatamentosChar"/>
    <w:qFormat/>
    <w:rsid w:val="009B61E7"/>
    <w:pPr>
      <w:spacing w:after="0" w:line="240" w:lineRule="auto"/>
    </w:pPr>
    <w:rPr>
      <w:sz w:val="20"/>
      <w:szCs w:val="20"/>
    </w:rPr>
  </w:style>
  <w:style w:type="character" w:customStyle="1" w:styleId="GFTtuloChar">
    <w:name w:val="GF_Título Char"/>
    <w:basedOn w:val="TtuloChar"/>
    <w:link w:val="GFTtulo"/>
    <w:rsid w:val="009B61E7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GFEixo">
    <w:name w:val="GF_Eixo"/>
    <w:basedOn w:val="PargrafodaLista"/>
    <w:link w:val="GFEixoChar"/>
    <w:qFormat/>
    <w:rsid w:val="009B61E7"/>
    <w:pPr>
      <w:spacing w:before="360" w:after="0" w:line="240" w:lineRule="auto"/>
      <w:jc w:val="center"/>
    </w:pPr>
    <w:rPr>
      <w:b/>
    </w:rPr>
  </w:style>
  <w:style w:type="character" w:customStyle="1" w:styleId="GFDepatamentosChar">
    <w:name w:val="GF_Depatamentos Char"/>
    <w:basedOn w:val="PargrafodaListaChar"/>
    <w:link w:val="GFDepatamentos"/>
    <w:rsid w:val="009B61E7"/>
    <w:rPr>
      <w:rFonts w:ascii="Times New Roman" w:hAnsi="Times New Roman"/>
      <w:sz w:val="20"/>
      <w:szCs w:val="20"/>
    </w:rPr>
  </w:style>
  <w:style w:type="paragraph" w:customStyle="1" w:styleId="GFRETI">
    <w:name w:val="GF_RE_TI"/>
    <w:basedOn w:val="SemEspaamento"/>
    <w:link w:val="GFRETIChar"/>
    <w:qFormat/>
    <w:rsid w:val="009B61E7"/>
    <w:pPr>
      <w:ind w:left="-284"/>
    </w:pPr>
    <w:rPr>
      <w:sz w:val="22"/>
    </w:rPr>
  </w:style>
  <w:style w:type="character" w:customStyle="1" w:styleId="GFEixoChar">
    <w:name w:val="GF_Eixo Char"/>
    <w:basedOn w:val="PargrafodaListaChar"/>
    <w:link w:val="GFEixo"/>
    <w:rsid w:val="009B61E7"/>
    <w:rPr>
      <w:rFonts w:ascii="Times New Roman" w:hAnsi="Times New Roman"/>
      <w:b/>
    </w:rPr>
  </w:style>
  <w:style w:type="paragraph" w:customStyle="1" w:styleId="GFPalavra">
    <w:name w:val="GF_Palavra"/>
    <w:basedOn w:val="GFResumo"/>
    <w:link w:val="GFPalavraChar"/>
    <w:qFormat/>
    <w:rsid w:val="0043585C"/>
    <w:pPr>
      <w:spacing w:before="240" w:after="0"/>
    </w:pPr>
    <w:rPr>
      <w:b/>
    </w:rPr>
  </w:style>
  <w:style w:type="character" w:customStyle="1" w:styleId="SemEspaamentoChar">
    <w:name w:val="Sem Espaçamento Char"/>
    <w:aliases w:val="GF_Autores Char"/>
    <w:basedOn w:val="Fontepargpadro"/>
    <w:link w:val="SemEspaamento"/>
    <w:uiPriority w:val="1"/>
    <w:rsid w:val="0043585C"/>
    <w:rPr>
      <w:rFonts w:ascii="Times New Roman" w:hAnsi="Times New Roman" w:cs="Times New Roman"/>
      <w:sz w:val="24"/>
      <w:szCs w:val="24"/>
    </w:rPr>
  </w:style>
  <w:style w:type="character" w:customStyle="1" w:styleId="GFRETIChar">
    <w:name w:val="GF_RE_TI Char"/>
    <w:basedOn w:val="SemEspaamentoChar"/>
    <w:link w:val="GFRETI"/>
    <w:rsid w:val="009B61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85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PT" w:eastAsia="pt-PT"/>
    </w:rPr>
  </w:style>
  <w:style w:type="character" w:customStyle="1" w:styleId="GFPalavraChar">
    <w:name w:val="GF_Palavra Char"/>
    <w:basedOn w:val="GFResumoChar"/>
    <w:link w:val="GFPalavra"/>
    <w:rsid w:val="0043585C"/>
    <w:rPr>
      <w:rFonts w:ascii="Times New Roman" w:hAnsi="Times New Roman"/>
      <w:b/>
      <w:sz w:val="20"/>
    </w:rPr>
  </w:style>
  <w:style w:type="paragraph" w:customStyle="1" w:styleId="Standard">
    <w:name w:val="Standard"/>
    <w:rsid w:val="00685F0E"/>
    <w:pPr>
      <w:tabs>
        <w:tab w:val="left" w:pos="708"/>
      </w:tabs>
      <w:suppressAutoHyphens/>
      <w:textAlignment w:val="baseline"/>
    </w:pPr>
    <w:rPr>
      <w:rFonts w:ascii="Times New Roman" w:eastAsia="SimSun;宋体" w:hAnsi="Times New Roman" w:cs="Mangal"/>
      <w:sz w:val="24"/>
      <w:szCs w:val="24"/>
      <w:lang w:val="en-US"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A963C2"/>
    <w:pPr>
      <w:spacing w:after="0" w:line="240" w:lineRule="auto"/>
      <w:ind w:firstLine="720"/>
    </w:pPr>
    <w:rPr>
      <w:rFonts w:ascii="Times" w:eastAsia="Times" w:hAnsi="Times" w:cs="Times New Roman"/>
      <w:sz w:val="24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963C2"/>
    <w:rPr>
      <w:rFonts w:ascii="Times" w:eastAsia="Times" w:hAnsi="Times" w:cs="Times New Roman"/>
      <w:sz w:val="24"/>
      <w:szCs w:val="20"/>
      <w:lang w:val="en-US"/>
    </w:rPr>
  </w:style>
  <w:style w:type="character" w:styleId="Refdecomentrio">
    <w:name w:val="annotation reference"/>
    <w:uiPriority w:val="99"/>
    <w:semiHidden/>
    <w:unhideWhenUsed/>
    <w:rsid w:val="00A963C2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F7CF4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JFCTextoChar">
    <w:name w:val="JFC_Texto Char"/>
    <w:link w:val="JFCTexto"/>
    <w:locked/>
    <w:rsid w:val="00D30E79"/>
    <w:rPr>
      <w:rFonts w:ascii="Times New Roman" w:eastAsia="Calibri" w:hAnsi="Times New Roman" w:cs="Times New Roman"/>
      <w:sz w:val="24"/>
    </w:rPr>
  </w:style>
  <w:style w:type="paragraph" w:customStyle="1" w:styleId="JFCTexto">
    <w:name w:val="JFC_Texto"/>
    <w:basedOn w:val="Normal"/>
    <w:link w:val="JFCTextoChar"/>
    <w:qFormat/>
    <w:rsid w:val="00D30E79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o.latuf@unifal-mg.edu.br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mapas.mma.gov.br/i3ge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ibge.gov.br/home/geociencias/download/arquivos/index1.s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ja.ibge.gov.b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ge.gov.br/home/geociencias/download/arquivos/index1.s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loja.ibge.gov.b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pas.mma.gov.br/i3geo/datadownload.htm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2E45-6EF3-488C-B0D9-F7E2B1DC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talita.prates</dc:creator>
  <cp:lastModifiedBy>Revisor</cp:lastModifiedBy>
  <cp:revision>3</cp:revision>
  <dcterms:created xsi:type="dcterms:W3CDTF">2017-08-11T17:34:00Z</dcterms:created>
  <dcterms:modified xsi:type="dcterms:W3CDTF">2017-08-11T17:34:00Z</dcterms:modified>
</cp:coreProperties>
</file>