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theme/theme1.xml" ContentType="application/vnd.openxmlformats-officedocument.theme+xml"/>
  <Override PartName="/word/header1.xml" ContentType="application/vnd.openxmlformats-officedocument.wordprocessingml.header+xml"/>
  <Override PartName="/word/footnotes.xml" ContentType="application/vnd.openxmlformats-officedocument.wordprocessingml.footnotes+xml"/>
  <Override PartName="/word/media/image1.jpeg" ContentType="image/jpe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Override PartName="/word/_rels/header1.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480" w:after="0"/>
        <w:jc w:val="center"/>
        <w:rPr/>
      </w:pPr>
      <w:r>
        <w:rPr>
          <w:rFonts w:ascii="Times New Roman" w:hAnsi="Times New Roman"/>
          <w:b/>
          <w:bCs/>
          <w:sz w:val="28"/>
          <w:szCs w:val="28"/>
          <w:lang w:val="pt-PT"/>
        </w:rPr>
        <w:t>Vulnerabilidade Socioambiental Urbana pela Ótica da Relação Homem-Natureza</w:t>
      </w:r>
    </w:p>
    <w:p>
      <w:pPr>
        <w:pStyle w:val="Normal"/>
        <w:spacing w:before="240" w:after="240"/>
        <w:jc w:val="center"/>
        <w:rPr/>
      </w:pPr>
      <w:r>
        <w:rPr>
          <w:rFonts w:ascii="Times New Roman" w:hAnsi="Times New Roman"/>
          <w:szCs w:val="24"/>
          <w:lang w:val="pt-PT"/>
        </w:rPr>
        <w:t>M</w:t>
      </w:r>
      <w:r>
        <w:rPr>
          <w:rFonts w:ascii="Times New Roman" w:hAnsi="Times New Roman"/>
          <w:szCs w:val="24"/>
          <w:lang w:val="pt-PT"/>
        </w:rPr>
        <w:t xml:space="preserve">aria Júlia Veiga </w:t>
      </w:r>
      <w:r>
        <w:rPr>
          <w:rFonts w:ascii="Times New Roman" w:hAnsi="Times New Roman"/>
          <w:szCs w:val="24"/>
          <w:lang w:val="pt-PT"/>
        </w:rPr>
        <w:t>da Silva</w:t>
      </w:r>
      <w:r>
        <w:rPr>
          <w:rFonts w:ascii="Times New Roman" w:hAnsi="Times New Roman"/>
          <w:vertAlign w:val="superscript"/>
          <w:lang w:val="pt-PT"/>
        </w:rPr>
        <w:t>(a)</w:t>
      </w:r>
      <w:r>
        <w:rPr>
          <w:rFonts w:ascii="Times New Roman" w:hAnsi="Times New Roman"/>
          <w:szCs w:val="24"/>
          <w:lang w:val="pt-PT"/>
        </w:rPr>
        <w:t>, R</w:t>
      </w:r>
      <w:r>
        <w:rPr>
          <w:rFonts w:ascii="Times New Roman" w:hAnsi="Times New Roman"/>
          <w:szCs w:val="24"/>
          <w:lang w:val="pt-PT"/>
        </w:rPr>
        <w:t xml:space="preserve">oberto </w:t>
      </w:r>
      <w:r>
        <w:rPr>
          <w:rFonts w:ascii="Times New Roman" w:hAnsi="Times New Roman"/>
          <w:szCs w:val="24"/>
          <w:lang w:val="pt-PT"/>
        </w:rPr>
        <w:t>Braga</w:t>
      </w:r>
      <w:r>
        <w:rPr>
          <w:rFonts w:ascii="Times New Roman" w:hAnsi="Times New Roman"/>
          <w:vertAlign w:val="superscript"/>
          <w:lang w:val="pt-PT"/>
        </w:rPr>
        <w:t>(b)</w:t>
      </w:r>
    </w:p>
    <w:p>
      <w:pPr>
        <w:pStyle w:val="Normal"/>
        <w:rPr>
          <w:rFonts w:ascii="Times New Roman" w:hAnsi="Times New Roman"/>
          <w:sz w:val="20"/>
          <w:lang w:val="pt-PT"/>
        </w:rPr>
      </w:pPr>
      <w:r>
        <w:rPr>
          <w:rFonts w:ascii="Times New Roman" w:hAnsi="Times New Roman"/>
          <w:sz w:val="20"/>
          <w:vertAlign w:val="superscript"/>
          <w:lang w:val="pt-PT"/>
        </w:rPr>
        <w:t>(a)</w:t>
      </w:r>
      <w:r>
        <w:rPr>
          <w:rFonts w:ascii="Times New Roman" w:hAnsi="Times New Roman"/>
          <w:sz w:val="20"/>
          <w:lang w:val="pt-PT"/>
        </w:rPr>
        <w:t xml:space="preserve"> Programa de Pós-graduação em Geografia/Instituto de Geociências e Ciências Exatas, Universidade Estadual Paulista, mjvsilva2000@yahoo.com.br</w:t>
      </w:r>
    </w:p>
    <w:p>
      <w:pPr>
        <w:pStyle w:val="Normal"/>
        <w:rPr>
          <w:rFonts w:ascii="Times New Roman" w:hAnsi="Times New Roman"/>
          <w:sz w:val="20"/>
          <w:lang w:val="pt-PT"/>
        </w:rPr>
      </w:pPr>
      <w:r>
        <w:rPr>
          <w:rFonts w:ascii="Times New Roman" w:hAnsi="Times New Roman"/>
          <w:sz w:val="20"/>
          <w:vertAlign w:val="superscript"/>
          <w:lang w:val="pt-PT"/>
        </w:rPr>
        <w:t>(b)</w:t>
      </w:r>
      <w:r>
        <w:rPr>
          <w:rFonts w:ascii="Times New Roman" w:hAnsi="Times New Roman"/>
          <w:sz w:val="20"/>
          <w:lang w:val="pt-PT"/>
        </w:rPr>
        <w:t xml:space="preserve"> Programa de Pós-graduação em Geografia/Instituto de Geociências e Ciências Exatas, Universidade Estadual Paulista, rbraga@rc.unesp.br</w:t>
      </w:r>
    </w:p>
    <w:p>
      <w:pPr>
        <w:pStyle w:val="Normal"/>
        <w:spacing w:before="360" w:after="0"/>
        <w:jc w:val="center"/>
        <w:rPr>
          <w:rFonts w:ascii="Times New Roman" w:hAnsi="Times New Roman" w:eastAsia="Times New Roman"/>
          <w:b/>
          <w:b/>
          <w:sz w:val="22"/>
          <w:szCs w:val="22"/>
          <w:lang w:val="pt-PT" w:eastAsia="pt-PT"/>
        </w:rPr>
      </w:pPr>
      <w:r>
        <w:rPr>
          <w:rFonts w:eastAsia="Times New Roman" w:ascii="Times New Roman" w:hAnsi="Times New Roman"/>
          <w:b/>
          <w:sz w:val="22"/>
          <w:szCs w:val="22"/>
          <w:lang w:val="pt-PT" w:eastAsia="pt-PT"/>
        </w:rPr>
        <w:t>Eixo: Uso e Ocupação das terras e legislação ambiental.</w:t>
      </w:r>
    </w:p>
    <w:p>
      <w:pPr>
        <w:pStyle w:val="Normal"/>
        <w:spacing w:before="360" w:after="0"/>
        <w:jc w:val="center"/>
        <w:rPr>
          <w:rFonts w:ascii="Times New Roman" w:hAnsi="Times New Roman" w:eastAsia="Times New Roman"/>
          <w:b/>
          <w:b/>
          <w:sz w:val="22"/>
          <w:szCs w:val="22"/>
          <w:lang w:val="pt-PT" w:eastAsia="pt-PT"/>
        </w:rPr>
      </w:pPr>
      <w:r>
        <w:rPr>
          <w:rFonts w:eastAsia="Times New Roman" w:ascii="Times New Roman" w:hAnsi="Times New Roman"/>
          <w:b/>
          <w:sz w:val="22"/>
          <w:szCs w:val="22"/>
          <w:lang w:val="pt-PT" w:eastAsia="pt-PT"/>
        </w:rPr>
        <w:t>Resumo</w:t>
      </w:r>
    </w:p>
    <w:p>
      <w:pPr>
        <w:pStyle w:val="Normal"/>
        <w:spacing w:before="120" w:after="0"/>
        <w:ind w:left="567" w:right="618" w:hanging="0"/>
        <w:jc w:val="both"/>
        <w:rPr>
          <w:rFonts w:ascii="Times New Roman" w:hAnsi="Times New Roman" w:eastAsia="Times New Roman"/>
          <w:sz w:val="20"/>
          <w:lang w:val="pt-PT" w:eastAsia="pt-PT"/>
        </w:rPr>
      </w:pPr>
      <w:r>
        <w:rPr>
          <w:rFonts w:eastAsia="Times New Roman" w:ascii="Times New Roman" w:hAnsi="Times New Roman"/>
          <w:sz w:val="20"/>
          <w:lang w:val="pt-PT" w:eastAsia="pt-PT"/>
        </w:rPr>
        <w:t xml:space="preserve">O presente artigo é uma produção teórica que procura tecer considerações sobre a relação homem-natureza no contexto da problemática ambiental tomando como conceitos norteadores da discussão a vulnerabilidade socioambiental e a produção social do espaço. Sendo assim, o objetivo deste trabalho é resgatar algumas contribuições teóricas em torno da problemática ambiental, especialmente da vulnerabilidade socioambiental, que leva em consideração a relação-homem natureza no processo de produção social do espaço. Como é um trabalho teórico teve como método de coleta de informações apenas levantamento e análise biliográfica. Ao final da construção teórica concluiu-se que é significativa a importância da relação estabelecida entre os seres humanos e os elementos da natureza, mediada pelo trabalho, para se compreender os níveis de vulnerabilidade socioambiental no contexto da estrutura espacial socialmente produzida. Há também significativa produção teórica que resgata discussões que compõem a epistemologia da geografia ao longo de sua história como ciência. </w:t>
      </w:r>
    </w:p>
    <w:p>
      <w:pPr>
        <w:pStyle w:val="Normal"/>
        <w:tabs>
          <w:tab w:val="left" w:pos="709" w:leader="none"/>
          <w:tab w:val="left" w:pos="8505" w:leader="none"/>
        </w:tabs>
        <w:spacing w:before="240" w:after="0"/>
        <w:ind w:left="567" w:right="618" w:hanging="0"/>
        <w:rPr>
          <w:rFonts w:ascii="Times New Roman" w:hAnsi="Times New Roman"/>
          <w:sz w:val="20"/>
          <w:lang w:val="pt-PT"/>
        </w:rPr>
      </w:pPr>
      <w:r>
        <w:rPr>
          <w:rFonts w:ascii="Times New Roman" w:hAnsi="Times New Roman"/>
          <w:b/>
          <w:sz w:val="20"/>
          <w:lang w:val="pt-PT"/>
        </w:rPr>
        <w:t xml:space="preserve">Palavras chave: </w:t>
      </w:r>
      <w:r>
        <w:rPr>
          <w:rFonts w:ascii="Times New Roman" w:hAnsi="Times New Roman"/>
          <w:sz w:val="20"/>
          <w:lang w:val="pt-PT"/>
        </w:rPr>
        <w:t xml:space="preserve">natureza, sociedade, trabalho, produção social do espaço, vulnerabilidade socioambiental urbana. </w:t>
      </w:r>
    </w:p>
    <w:p>
      <w:pPr>
        <w:pStyle w:val="Normal"/>
        <w:spacing w:before="480" w:after="240"/>
        <w:rPr>
          <w:b/>
          <w:b/>
          <w:szCs w:val="24"/>
          <w:lang w:val="pt-PT"/>
        </w:rPr>
      </w:pPr>
      <w:r>
        <w:rPr>
          <w:b/>
          <w:szCs w:val="24"/>
          <w:lang w:val="pt-PT"/>
        </w:rPr>
        <w:t>1. Introdução</w:t>
      </w:r>
    </w:p>
    <w:p>
      <w:pPr>
        <w:pStyle w:val="Normal"/>
        <w:spacing w:lineRule="auto" w:line="360" w:before="0" w:after="120"/>
        <w:ind w:firstLine="1134"/>
        <w:jc w:val="both"/>
        <w:rPr>
          <w:rFonts w:ascii="Times New Roman" w:hAnsi="Times New Roman" w:eastAsia="Times New Roman"/>
          <w:szCs w:val="24"/>
          <w:lang w:val="pt-PT" w:eastAsia="pt-PT"/>
        </w:rPr>
      </w:pPr>
      <w:r>
        <w:rPr>
          <w:rFonts w:eastAsia="Times New Roman" w:ascii="Times New Roman" w:hAnsi="Times New Roman"/>
          <w:szCs w:val="24"/>
          <w:lang w:val="pt-PT" w:eastAsia="pt-PT"/>
        </w:rPr>
        <w:t>A situação atual de profunda  degradação do meio natural e antrópico, tem exigido da geografia uma abordagem teórica capaz de aglomerar nas análises, tanto os elementos da natureza quanto os grupos sociais que se apropriam dos recursos naturais e produzem seu espaço de vivência nas cidades. As desigualdades que marcam geograficamente os diferentes grupos sociais estão associados à apropriação desigual dos recursos da natureza em geral e do solo urbano e que produz diferentes níveis de vulnerabilidades socioambientais.</w:t>
      </w:r>
    </w:p>
    <w:p>
      <w:pPr>
        <w:pStyle w:val="Normal"/>
        <w:spacing w:lineRule="auto" w:line="360" w:before="0" w:after="120"/>
        <w:ind w:firstLine="1134"/>
        <w:jc w:val="both"/>
        <w:rPr>
          <w:rFonts w:ascii="Times New Roman" w:hAnsi="Times New Roman"/>
          <w:szCs w:val="24"/>
          <w:lang w:val="pt-PT"/>
        </w:rPr>
      </w:pPr>
      <w:r>
        <w:rPr>
          <w:rFonts w:eastAsia="Times New Roman" w:ascii="Times New Roman" w:hAnsi="Times New Roman"/>
          <w:szCs w:val="24"/>
          <w:lang w:val="pt-PT" w:eastAsia="pt-PT"/>
        </w:rPr>
        <w:t xml:space="preserve">Em sua trajetória histórica, a ciência geográfica, passou por várias transformações na definição de seu objeto e métodos de interpretação. No entanto, destaca-se aquilo que sempre esteve nas preocupações dos geógrafos, o espaço do homem. Um espaço que é produzido por meio da ação do homem sobre a natureza ou sobre os objetos geográficos já transformados. Importa destacar ainda o caráter interdisciplinar que orienta a análise geográfica. </w:t>
      </w:r>
    </w:p>
    <w:p>
      <w:pPr>
        <w:pStyle w:val="Normal"/>
        <w:spacing w:lineRule="auto" w:line="360" w:before="0" w:after="120"/>
        <w:ind w:firstLine="1134"/>
        <w:jc w:val="both"/>
        <w:rPr>
          <w:rFonts w:ascii="Times New Roman" w:hAnsi="Times New Roman"/>
          <w:szCs w:val="24"/>
          <w:lang w:val="pt-PT"/>
        </w:rPr>
      </w:pPr>
      <w:r>
        <w:rPr>
          <w:rFonts w:ascii="Times New Roman" w:hAnsi="Times New Roman"/>
          <w:szCs w:val="24"/>
          <w:lang w:val="pt-PT"/>
        </w:rPr>
        <w:t>Por tudo isso, é importante resgatar o projeto inicial da geografia que aglomera em sua análise a relação entre sociedade e natureza. No entanto, embora os objetos geográficos urbanos, que podem ser entendidos como uma segunda natureza, como coloca Santos (2004), muitas vezes a relação sociedade natureza fica ofuscada na análise da produção do espaço urbano. Nesse sentido, o estudo das vulnerabilidades socioambientais urbanas relacionados aos riscos naturais recoloca a discussão desta dialética no centro da análise. Então, aprofundar o conhecimento nos campos disciplinares em que se ramificou a geografia é fundamental, mas é igualmente interessante não negligenciar o teor interdisciplinar, agregador de abordagens física e humana na busca do desvendamento do espaço de vivência humana.</w:t>
      </w:r>
    </w:p>
    <w:p>
      <w:pPr>
        <w:pStyle w:val="Normal"/>
        <w:spacing w:before="480" w:after="240"/>
        <w:jc w:val="both"/>
        <w:rPr>
          <w:b/>
          <w:b/>
          <w:szCs w:val="24"/>
          <w:lang w:val="pt-PT"/>
        </w:rPr>
      </w:pPr>
      <w:r>
        <w:rPr>
          <w:rFonts w:ascii="Times New Roman" w:hAnsi="Times New Roman"/>
          <w:sz w:val="22"/>
          <w:szCs w:val="22"/>
          <w:lang w:val="pt-PT"/>
        </w:rPr>
        <w:t xml:space="preserve">2. </w:t>
      </w:r>
      <w:r>
        <w:rPr>
          <w:b/>
          <w:szCs w:val="24"/>
          <w:lang w:val="pt-PT"/>
        </w:rPr>
        <w:t>Estudos Geográficos, Estudos Ambientais e a Relação Sociedade-Natureza: algumas considerações.</w:t>
      </w:r>
    </w:p>
    <w:p>
      <w:pPr>
        <w:pStyle w:val="Normal"/>
        <w:spacing w:lineRule="auto" w:line="360" w:before="0" w:after="120"/>
        <w:ind w:firstLine="1134"/>
        <w:jc w:val="both"/>
        <w:rPr>
          <w:rFonts w:ascii="Times New Roman" w:hAnsi="Times New Roman"/>
          <w:szCs w:val="24"/>
          <w:lang w:val="pt-PT"/>
        </w:rPr>
      </w:pPr>
      <w:r>
        <w:rPr>
          <w:rFonts w:ascii="Times New Roman" w:hAnsi="Times New Roman"/>
          <w:szCs w:val="24"/>
          <w:lang w:val="pt-PT"/>
        </w:rPr>
        <w:t xml:space="preserve">Nas sociedades contemporâneas, a incerteza e a insegurança são condições que passaram a fazer parte do cotidiano dos diferentes grupos sociais. Os grupos estão cada vez mais expostos a perigos de diferentes tipos: naturais, sociais ou tecnológicos. O estudo sobre as vulnerabilidades socioambientais surge, assim, como uma maneira de compreender esses processos e evidenciar fatores que podem diminuir a incerteza e a insegurança quanto à possibilidade de um indivíduo, grupo, comunidade, bairro ou cidade ser afetado por um perigo. Isto significa dizer que os estudos sobre vulnerabilidades socioambientais urbanas surgem no contexto dos estudos sobre riscos e perigos e estes estudos perpassam pela compreensão da organização do espaço da cidade, ou seja, de como este vem sendo produzido, ocupado e estruturado pela população. </w:t>
      </w:r>
    </w:p>
    <w:p>
      <w:pPr>
        <w:pStyle w:val="Normal"/>
        <w:spacing w:lineRule="auto" w:line="360" w:before="0" w:after="120"/>
        <w:ind w:firstLine="1134"/>
        <w:jc w:val="both"/>
        <w:rPr>
          <w:rFonts w:ascii="Times New Roman" w:hAnsi="Times New Roman"/>
          <w:szCs w:val="24"/>
          <w:lang w:val="pt-PT"/>
        </w:rPr>
      </w:pPr>
      <w:r>
        <w:rPr>
          <w:rFonts w:ascii="Times New Roman" w:hAnsi="Times New Roman"/>
          <w:szCs w:val="24"/>
          <w:lang w:val="pt-PT"/>
        </w:rPr>
        <w:t>Dessa maneira, é importante resgatar as principais linhas de pensamento que norteiam a análise da produção do espaço na Geografia no contexto da dialética da relação sociedade-natureza, dando ênfase especial ao pensamento marxista na geografia. É igualmente necessário trazer para as considerações iniciais deste artigo a abordagem socioambiental, já que a mesma configura como expressão bastante presente neste tipo de análise.</w:t>
      </w:r>
    </w:p>
    <w:p>
      <w:pPr>
        <w:pStyle w:val="Normal"/>
        <w:spacing w:lineRule="auto" w:line="360" w:before="0" w:after="120"/>
        <w:ind w:firstLine="1134"/>
        <w:jc w:val="both"/>
        <w:rPr>
          <w:rFonts w:ascii="Times New Roman" w:hAnsi="Times New Roman"/>
          <w:szCs w:val="24"/>
          <w:lang w:val="pt-PT"/>
        </w:rPr>
      </w:pPr>
      <w:r>
        <w:rPr>
          <w:rFonts w:ascii="Times New Roman" w:hAnsi="Times New Roman"/>
          <w:szCs w:val="24"/>
          <w:lang w:val="pt-PT"/>
        </w:rPr>
        <w:t>A busca por métodos específicos é inerente às ciências modernas e isso impõe um sério dilema a geografia, justamente por esta ter em seu projeto inicial e global, conforme assinala Lacoste (2012), um objeto que aglomera conjuntos e processos espaciais de ordem natural e também de ordem social. Isso gerou, em muitos casos, por vezes, o abandono da riqueza desse projeto inicial de compreender a complexa relação entre o homem e a natureza na produção do espaço. Tal projeto, conferia, e confere, à Ciência Geográfica alto teor de interdisciplinariedade. Sobre o caráter interdisciplinar na Geografia, a ser retomado sob a ótica dos estudos do ambiente, Suertegaray (2009) faz as seguintes considerações:</w:t>
      </w:r>
    </w:p>
    <w:p>
      <w:pPr>
        <w:pStyle w:val="Normal"/>
        <w:ind w:left="2268" w:hanging="0"/>
        <w:jc w:val="both"/>
        <w:rPr>
          <w:rFonts w:ascii="Times New Roman" w:hAnsi="Times New Roman"/>
          <w:sz w:val="20"/>
        </w:rPr>
      </w:pPr>
      <w:r>
        <w:rPr>
          <w:rFonts w:ascii="Times New Roman" w:hAnsi="Times New Roman"/>
          <w:sz w:val="20"/>
        </w:rPr>
      </w:r>
    </w:p>
    <w:p>
      <w:pPr>
        <w:pStyle w:val="Normal"/>
        <w:ind w:left="2268" w:hanging="0"/>
        <w:jc w:val="both"/>
        <w:rPr>
          <w:rFonts w:ascii="Times New Roman" w:hAnsi="Times New Roman"/>
          <w:sz w:val="20"/>
        </w:rPr>
      </w:pPr>
      <w:r>
        <w:rPr>
          <w:rFonts w:ascii="Times New Roman" w:hAnsi="Times New Roman"/>
          <w:sz w:val="20"/>
        </w:rPr>
        <w:t>Estas novas formas indicam aos geógrafos a necessidade de reflexão epistemológica. Caminho árduo, mas necessário, se quisermos construir um diálogo interdisciplinar que contribua para a decifração das coisas e dos objetos</w:t>
      </w:r>
      <w:r>
        <w:rPr>
          <w:rStyle w:val="Ncoradanotaderodap"/>
          <w:rFonts w:ascii="Times New Roman" w:hAnsi="Times New Roman"/>
          <w:sz w:val="20"/>
        </w:rPr>
        <w:footnoteReference w:id="2"/>
      </w:r>
      <w:r>
        <w:rPr>
          <w:rFonts w:ascii="Times New Roman" w:hAnsi="Times New Roman"/>
          <w:sz w:val="20"/>
        </w:rPr>
        <w:t xml:space="preserve"> que em interação entre si e com os homens e mulheres vivendo em sociedade, configuram a materialidade da vida. (SUERTEGARAY, 2009, p. 119).</w:t>
      </w:r>
    </w:p>
    <w:p>
      <w:pPr>
        <w:pStyle w:val="Normal"/>
        <w:ind w:left="2268" w:hanging="0"/>
        <w:jc w:val="both"/>
        <w:rPr>
          <w:rFonts w:ascii="Times New Roman" w:hAnsi="Times New Roman"/>
          <w:sz w:val="20"/>
        </w:rPr>
      </w:pPr>
      <w:r>
        <w:rPr>
          <w:rFonts w:ascii="Times New Roman" w:hAnsi="Times New Roman"/>
          <w:sz w:val="20"/>
        </w:rPr>
      </w:r>
    </w:p>
    <w:p>
      <w:pPr>
        <w:pStyle w:val="Normal"/>
        <w:spacing w:lineRule="auto" w:line="360" w:before="0" w:after="120"/>
        <w:ind w:firstLine="1134"/>
        <w:jc w:val="both"/>
        <w:rPr>
          <w:rFonts w:ascii="Times New Roman" w:hAnsi="Times New Roman"/>
          <w:szCs w:val="24"/>
          <w:lang w:val="pt-PT"/>
        </w:rPr>
      </w:pPr>
      <w:r>
        <w:rPr>
          <w:rFonts w:ascii="Times New Roman" w:hAnsi="Times New Roman"/>
          <w:szCs w:val="24"/>
          <w:lang w:val="pt-PT"/>
        </w:rPr>
        <w:t xml:space="preserve">Numa perspectiva mais ampla no contexto das ciências em geral, Lacoste (2012) também expressa o caráter interdisciplinar da geografia, assim como das demais ciências e sua relevância na compreensão da complexidade do mundo: </w:t>
      </w:r>
    </w:p>
    <w:p>
      <w:pPr>
        <w:pStyle w:val="Normal"/>
        <w:ind w:left="2268" w:hanging="0"/>
        <w:jc w:val="both"/>
        <w:rPr>
          <w:rFonts w:ascii="Times New Roman" w:hAnsi="Times New Roman"/>
          <w:sz w:val="20"/>
        </w:rPr>
      </w:pPr>
      <w:r>
        <w:rPr>
          <w:rFonts w:ascii="Times New Roman" w:hAnsi="Times New Roman"/>
          <w:sz w:val="20"/>
        </w:rPr>
      </w:r>
    </w:p>
    <w:p>
      <w:pPr>
        <w:pStyle w:val="Normal"/>
        <w:ind w:left="2268" w:hanging="0"/>
        <w:jc w:val="both"/>
        <w:rPr>
          <w:rFonts w:ascii="Times New Roman" w:hAnsi="Times New Roman"/>
          <w:sz w:val="20"/>
        </w:rPr>
      </w:pPr>
      <w:r>
        <w:rPr>
          <w:rFonts w:ascii="Times New Roman" w:hAnsi="Times New Roman"/>
          <w:sz w:val="20"/>
        </w:rPr>
        <w:t>Evidentemente, o progresso das ciências, resulta, em grande escala, de uma divisão cada vez mais avançada do trabalho científico. Mas desde há alguns anos, ao lado das ciências sticto sensu, cada uma especializada na análise de um setor cada vez mais preciso da realidade, as reflexões epistemológicas novas legitimam o desenvolvimento de saberes científicos cuja característica e função são de combinar, de articular elementos de conhecimento que são produzidos por diferentes espécies de ciências. (LACOSTE, 2012, p. 206-207).</w:t>
      </w:r>
    </w:p>
    <w:p>
      <w:pPr>
        <w:pStyle w:val="Normal"/>
        <w:ind w:left="2268" w:hanging="0"/>
        <w:jc w:val="both"/>
        <w:rPr>
          <w:rFonts w:ascii="Times New Roman" w:hAnsi="Times New Roman"/>
          <w:sz w:val="20"/>
        </w:rPr>
      </w:pPr>
      <w:r>
        <w:rPr>
          <w:rFonts w:ascii="Times New Roman" w:hAnsi="Times New Roman"/>
          <w:sz w:val="20"/>
        </w:rPr>
      </w:r>
    </w:p>
    <w:p>
      <w:pPr>
        <w:pStyle w:val="Normal"/>
        <w:spacing w:lineRule="auto" w:line="360" w:before="0" w:after="120"/>
        <w:ind w:firstLine="1134"/>
        <w:jc w:val="both"/>
        <w:rPr>
          <w:rFonts w:ascii="Times New Roman" w:hAnsi="Times New Roman"/>
          <w:szCs w:val="24"/>
          <w:lang w:val="pt-PT"/>
        </w:rPr>
      </w:pPr>
      <w:r>
        <w:rPr>
          <w:rFonts w:ascii="Times New Roman" w:hAnsi="Times New Roman"/>
          <w:szCs w:val="24"/>
          <w:lang w:val="pt-PT"/>
        </w:rPr>
        <w:t xml:space="preserve">Lacoste (2012), Soja (1993), assim como Porto Gonçalves (2013), partindo de diferentes perspectivas de análise do espaço geográfico, propõem a superação das dicotomias que perduram no pensamento geográfico desde meados do século passado. Entre essas dicotomias, a mais destacada é aquela que separa a sociedade da natureza nas análises de parcialidades da geografia do mundo, dos países e dos lugares. </w:t>
      </w:r>
    </w:p>
    <w:p>
      <w:pPr>
        <w:pStyle w:val="Normal"/>
        <w:spacing w:lineRule="auto" w:line="360" w:before="0" w:after="120"/>
        <w:ind w:firstLine="1134"/>
        <w:jc w:val="both"/>
        <w:rPr>
          <w:rFonts w:ascii="Times New Roman" w:hAnsi="Times New Roman"/>
          <w:szCs w:val="24"/>
          <w:lang w:val="pt-PT"/>
        </w:rPr>
      </w:pPr>
      <w:r>
        <w:rPr>
          <w:rFonts w:ascii="Times New Roman" w:hAnsi="Times New Roman"/>
          <w:szCs w:val="24"/>
          <w:lang w:val="pt-PT"/>
        </w:rPr>
        <w:t>Entretanto, Mendonça (2009) destaca que apesar da necessária superação dessas dicotomias não se pode esquecer as dinâmicas próprias da natureza e da sociedade. Isso parece pressupor a combinação de mais de um método de análise na mesma investigação científica que tenha como fim último a análise da produção social do espaço. Sobre a abordagem geográfica do ambiente e a necessidade de superação das dicotomias, Mendonça (2009) é enfático na defesa de uma “Geografia Socioambiental”:</w:t>
      </w:r>
    </w:p>
    <w:p>
      <w:pPr>
        <w:pStyle w:val="Normal"/>
        <w:ind w:left="2268" w:hanging="0"/>
        <w:jc w:val="both"/>
        <w:rPr>
          <w:rFonts w:ascii="Times New Roman" w:hAnsi="Times New Roman" w:eastAsia="Calibri"/>
          <w:sz w:val="20"/>
        </w:rPr>
      </w:pPr>
      <w:r>
        <w:rPr>
          <w:rFonts w:eastAsia="Calibri" w:ascii="Times New Roman" w:hAnsi="Times New Roman"/>
          <w:sz w:val="20"/>
        </w:rPr>
      </w:r>
    </w:p>
    <w:p>
      <w:pPr>
        <w:pStyle w:val="Normal"/>
        <w:ind w:left="2268" w:hanging="0"/>
        <w:jc w:val="both"/>
        <w:rPr>
          <w:rFonts w:ascii="Times New Roman" w:hAnsi="Times New Roman" w:eastAsia="Calibri"/>
          <w:sz w:val="20"/>
        </w:rPr>
      </w:pPr>
      <w:r>
        <w:rPr>
          <w:rFonts w:eastAsia="Calibri" w:ascii="Times New Roman" w:hAnsi="Times New Roman"/>
          <w:sz w:val="20"/>
        </w:rPr>
        <w:t xml:space="preserve">A concepção aqui adotada toma em consideração a convicção de que a abordagem geográfica do ambiente transcende a desgastada discussão da dicotomia geografia física </w:t>
      </w:r>
      <w:r>
        <w:rPr>
          <w:rFonts w:eastAsia="Calibri" w:ascii="Times New Roman" w:hAnsi="Times New Roman"/>
          <w:i/>
          <w:sz w:val="20"/>
        </w:rPr>
        <w:t>versus</w:t>
      </w:r>
      <w:r>
        <w:rPr>
          <w:rFonts w:eastAsia="Calibri" w:ascii="Times New Roman" w:hAnsi="Times New Roman"/>
          <w:sz w:val="20"/>
        </w:rPr>
        <w:t xml:space="preserve"> geografia humana, pois concebe a unidade do conhecimento geográfico como resultante da interação entre os diferentes elementos e fatores que compõem seu objeto de estudo. (MENDONÇA, 2009, p. 123).</w:t>
      </w:r>
    </w:p>
    <w:p>
      <w:pPr>
        <w:pStyle w:val="Normal"/>
        <w:ind w:left="2268" w:hanging="0"/>
        <w:jc w:val="both"/>
        <w:rPr>
          <w:rFonts w:ascii="Times New Roman" w:hAnsi="Times New Roman" w:eastAsia="Calibri"/>
          <w:sz w:val="20"/>
        </w:rPr>
      </w:pPr>
      <w:r>
        <w:rPr>
          <w:rFonts w:eastAsia="Calibri" w:ascii="Times New Roman" w:hAnsi="Times New Roman"/>
          <w:sz w:val="20"/>
        </w:rPr>
      </w:r>
    </w:p>
    <w:p>
      <w:pPr>
        <w:pStyle w:val="Normal"/>
        <w:spacing w:lineRule="auto" w:line="360" w:before="0" w:after="120"/>
        <w:ind w:firstLine="1134"/>
        <w:jc w:val="both"/>
        <w:rPr>
          <w:rFonts w:ascii="Times New Roman" w:hAnsi="Times New Roman"/>
          <w:szCs w:val="24"/>
          <w:lang w:val="pt-PT"/>
        </w:rPr>
      </w:pPr>
      <w:r>
        <w:rPr>
          <w:rFonts w:ascii="Times New Roman" w:hAnsi="Times New Roman"/>
          <w:szCs w:val="24"/>
          <w:lang w:val="pt-PT"/>
        </w:rPr>
        <w:t>Moreira (2006) apresenta várias referências epistemológicas para mostrar que o aparente novo movimento teórico e metodológico vivenciado pelas ciências na atualidade, especialmente na geografia, nada mais é do que o resgate de toda a produção de embasamento filosófico abandonado e/ou não valorizado, especialmente no contexto da formação das ciências modernas em que se buscava a pureza do método como forma de dispensar caráter de cientificidade das ciências. Para a geografia a separação entre métodos das ciências da natureza e das ciências da sociedade, no contexto da modernidade, foi um duro golpe, que fez com que os jovens geógrafos abandonassem, em grande medida, o principal sentido da ciência geográfica, o seu projeto inicial que era aglomerar em sua análise tanto aspectos físicos quanto aspectos humanos. Nesse sentido, Lacoste (2012) trata como a análise de elementos inseridos nos grandes conjuntos espaciais (demográficos, geomorfológicos, do relevo, econômicas). Atualmente, as discussões em torno da problemática ambiental promovem o revigoramento da temática da relação homem-natureza na Geografia, assim como em outras ciências e inclusive ciências dedicadas aos estudos ambientais, trazendo em sua abordagem muito do que havia sido abandonado pelos primeiros geográfos modernos.</w:t>
      </w:r>
    </w:p>
    <w:p>
      <w:pPr>
        <w:pStyle w:val="Normal"/>
        <w:spacing w:lineRule="auto" w:line="360" w:before="0" w:after="120"/>
        <w:ind w:firstLine="1134"/>
        <w:jc w:val="both"/>
        <w:rPr>
          <w:rFonts w:ascii="Times New Roman" w:hAnsi="Times New Roman"/>
          <w:szCs w:val="24"/>
          <w:lang w:val="pt-PT"/>
        </w:rPr>
      </w:pPr>
      <w:r>
        <w:rPr>
          <w:rFonts w:ascii="Times New Roman" w:hAnsi="Times New Roman"/>
          <w:szCs w:val="24"/>
          <w:lang w:val="pt-PT"/>
        </w:rPr>
        <w:t xml:space="preserve">Buscando evidenciar um paradigma ambiental, Rodriguez e Silva (2016) esclarecem que o mesmo se constituiria em paradigma alternativo àquele que se elaborou no contexto das sistematização e validação das ciências modernas. Tal paradigma emerge da questão ambiental em nível mundial evidenciada na segunda metade do século XX, assim: “[...]. A questão ambiental foi se configurando como uma problematicidade, na qual prevaleceu a articulação entre os elementos da sociedade e da natureza”. (RODRIGUEZ e SILVA, 2016, p. 20). </w:t>
      </w:r>
    </w:p>
    <w:p>
      <w:pPr>
        <w:pStyle w:val="Normal"/>
        <w:spacing w:lineRule="auto" w:line="360" w:before="0" w:after="120"/>
        <w:ind w:firstLine="1134"/>
        <w:jc w:val="both"/>
        <w:rPr>
          <w:rFonts w:ascii="Times New Roman" w:hAnsi="Times New Roman"/>
          <w:szCs w:val="24"/>
          <w:lang w:val="pt-PT"/>
        </w:rPr>
      </w:pPr>
      <w:r>
        <w:rPr>
          <w:rFonts w:ascii="Times New Roman" w:hAnsi="Times New Roman"/>
          <w:szCs w:val="24"/>
          <w:lang w:val="pt-PT"/>
        </w:rPr>
        <w:t xml:space="preserve">Presume-se a partir do que apresenta Rodriguez e Silva (2016) que a vertente da ciência ambiental, que se traduz na relação homem-natureza, constrói sua epistemologia segundo a própria trajetória do pensamento geográfico moderno. Para complementar tal discussão destaca-se que Suertegaray (2009) identificou, dentro da epistemologia da geografia, quatro momentos da análise da relação homem-meio: </w:t>
      </w:r>
    </w:p>
    <w:p>
      <w:pPr>
        <w:pStyle w:val="Normal"/>
        <w:ind w:left="2268" w:hanging="0"/>
        <w:jc w:val="both"/>
        <w:rPr>
          <w:rFonts w:ascii="Times New Roman" w:hAnsi="Times New Roman"/>
          <w:sz w:val="20"/>
          <w:lang w:val="pt-PT"/>
        </w:rPr>
      </w:pPr>
      <w:r>
        <w:rPr>
          <w:rFonts w:ascii="Times New Roman" w:hAnsi="Times New Roman"/>
          <w:sz w:val="20"/>
          <w:lang w:val="pt-PT"/>
        </w:rPr>
      </w:r>
    </w:p>
    <w:p>
      <w:pPr>
        <w:pStyle w:val="Normal"/>
        <w:ind w:left="2268" w:hanging="0"/>
        <w:jc w:val="both"/>
        <w:rPr>
          <w:rFonts w:ascii="Times New Roman" w:hAnsi="Times New Roman"/>
          <w:sz w:val="20"/>
          <w:lang w:val="pt-PT"/>
        </w:rPr>
      </w:pPr>
      <w:r>
        <w:rPr>
          <w:rFonts w:ascii="Times New Roman" w:hAnsi="Times New Roman"/>
          <w:sz w:val="20"/>
          <w:lang w:val="pt-PT"/>
        </w:rPr>
        <w:t>[...]. O determinismo geográfico, onde a natureza é causa; O possibilismo geográfico onde o mundo humano constrói possibilidades técnicas de utilização da natureza; A interação dialética onde o ambiente é resultado da relação contraditória entre natureza e sociedade mediada pelo trabalho; A compreensão fenomenológica/hermenêutica, onde não há separação entre ser e ambiente. (SUERTEGARAY, 2009, p. 116).</w:t>
      </w:r>
    </w:p>
    <w:p>
      <w:pPr>
        <w:pStyle w:val="Normal"/>
        <w:ind w:left="2268" w:hanging="0"/>
        <w:jc w:val="both"/>
        <w:rPr>
          <w:rFonts w:ascii="Times New Roman" w:hAnsi="Times New Roman"/>
          <w:sz w:val="20"/>
          <w:lang w:val="pt-PT"/>
        </w:rPr>
      </w:pPr>
      <w:r>
        <w:rPr>
          <w:rFonts w:ascii="Times New Roman" w:hAnsi="Times New Roman"/>
          <w:sz w:val="20"/>
          <w:lang w:val="pt-PT"/>
        </w:rPr>
      </w:r>
    </w:p>
    <w:p>
      <w:pPr>
        <w:pStyle w:val="Normal"/>
        <w:spacing w:lineRule="auto" w:line="360" w:before="0" w:after="120"/>
        <w:ind w:firstLine="1134"/>
        <w:jc w:val="both"/>
        <w:rPr>
          <w:rFonts w:ascii="Times New Roman" w:hAnsi="Times New Roman"/>
          <w:szCs w:val="24"/>
          <w:lang w:val="pt-PT"/>
        </w:rPr>
      </w:pPr>
      <w:r>
        <w:rPr>
          <w:rFonts w:ascii="Times New Roman" w:hAnsi="Times New Roman"/>
          <w:szCs w:val="24"/>
          <w:lang w:val="pt-PT"/>
        </w:rPr>
        <w:t>Após apresentar um quadro sobre as principais correntes teóricas nas ciências ambientais, Rodriguez e Silva (2016) concentra-se nos principais tipos de definições de meio ambiente, sendo eles: 1. A visão biológica de Meio Ambiente; 2. Visão antropocêntrica; 3. O meio ambiente como espaço; 4. O meio ambiente como representação social; 5. O Meio ambiente na visão da ecologia humana; 6. O meio ambiente a partir de uma visão holística; 7. O meio ambiente numa visão global. Dentre as definições de meio ambiente apresentada pelos autores uma é especialmente interessante para a Geografia:</w:t>
      </w:r>
    </w:p>
    <w:p>
      <w:pPr>
        <w:pStyle w:val="Normal"/>
        <w:ind w:left="2268" w:hanging="0"/>
        <w:jc w:val="both"/>
        <w:rPr>
          <w:rFonts w:ascii="Times New Roman" w:hAnsi="Times New Roman" w:eastAsia="Calibri"/>
          <w:sz w:val="20"/>
        </w:rPr>
      </w:pPr>
      <w:r>
        <w:rPr>
          <w:rFonts w:eastAsia="Calibri" w:ascii="Times New Roman" w:hAnsi="Times New Roman"/>
          <w:sz w:val="20"/>
        </w:rPr>
      </w:r>
    </w:p>
    <w:p>
      <w:pPr>
        <w:pStyle w:val="Normal"/>
        <w:ind w:left="2268" w:hanging="0"/>
        <w:jc w:val="both"/>
        <w:rPr>
          <w:rFonts w:ascii="Times New Roman" w:hAnsi="Times New Roman" w:eastAsia="Calibri"/>
          <w:sz w:val="20"/>
        </w:rPr>
      </w:pPr>
      <w:r>
        <w:rPr>
          <w:rFonts w:eastAsia="Calibri" w:ascii="Times New Roman" w:hAnsi="Times New Roman"/>
          <w:sz w:val="20"/>
        </w:rPr>
        <w:t xml:space="preserve">O meio ambiente como espaço: define-se o meio ambiente como um espaço com os componentes bióticos e abióticos, e socioculturais e suas interações. Aqui o ser vivo desenvolve e intercambia energia e matéria, interagindo com os diversos componentes, </w:t>
      </w:r>
      <w:r>
        <w:rPr>
          <w:rFonts w:eastAsia="Calibri" w:ascii="Times New Roman" w:hAnsi="Times New Roman"/>
          <w:i/>
          <w:sz w:val="20"/>
        </w:rPr>
        <w:t>transformando o espaço e transformando a si mesmo</w:t>
      </w:r>
      <w:r>
        <w:rPr>
          <w:rFonts w:eastAsia="Calibri" w:ascii="Times New Roman" w:hAnsi="Times New Roman"/>
          <w:sz w:val="20"/>
        </w:rPr>
        <w:t xml:space="preserve"> (MEC, BRASIL, 1998). Considera-se isto também, o resultado das inter-relações complexas de intercâmbio entre a Sociedade e a Natureza, no espaço e no tempo concretos. O meio ambiente construiu-se, de tal modo, ao longo do processo histórico de ocupação e transformação do espaço pela sociedade, surgindo como a síntese histórica das relações de intercâmbio entre a Sociedade e a Natureza (MININI MEDINA, 1994). Esta definição reflete a visão geográfica, e trata de articular-se ao espaço geográfico com a visão fatorial e biológica da relação objeto-sujeito. (RODRIGUEZ; SILVA, 2016, p. 27). (grifos nosso).</w:t>
      </w:r>
    </w:p>
    <w:p>
      <w:pPr>
        <w:pStyle w:val="Normal"/>
        <w:ind w:left="2268" w:hanging="0"/>
        <w:jc w:val="both"/>
        <w:rPr>
          <w:rFonts w:ascii="Times New Roman" w:hAnsi="Times New Roman" w:eastAsia="Calibri"/>
          <w:sz w:val="20"/>
        </w:rPr>
      </w:pPr>
      <w:r>
        <w:rPr>
          <w:rFonts w:eastAsia="Calibri" w:ascii="Times New Roman" w:hAnsi="Times New Roman"/>
          <w:sz w:val="20"/>
        </w:rPr>
      </w:r>
    </w:p>
    <w:p>
      <w:pPr>
        <w:pStyle w:val="Normal"/>
        <w:spacing w:lineRule="auto" w:line="360" w:before="0" w:after="120"/>
        <w:ind w:firstLine="1134"/>
        <w:jc w:val="both"/>
        <w:rPr>
          <w:rFonts w:ascii="Times New Roman" w:hAnsi="Times New Roman"/>
          <w:szCs w:val="24"/>
          <w:lang w:val="pt-PT"/>
        </w:rPr>
      </w:pPr>
      <w:r>
        <w:rPr>
          <w:rFonts w:ascii="Times New Roman" w:hAnsi="Times New Roman"/>
          <w:szCs w:val="24"/>
          <w:lang w:val="pt-PT"/>
        </w:rPr>
        <w:t>Apesar dos autores associarem o espaço a ideia de paisagem, é interessante destacar o trecho que destaca o teor metabólico da relação homem-natureza, também tratado por Moreira (2006) ao expressar o materialismo histórico e dialético na discussão da relação homem-natureza na análise geográfica.</w:t>
      </w:r>
    </w:p>
    <w:p>
      <w:pPr>
        <w:pStyle w:val="Normal"/>
        <w:spacing w:lineRule="auto" w:line="360" w:before="0" w:after="120"/>
        <w:ind w:firstLine="1134"/>
        <w:jc w:val="both"/>
        <w:rPr>
          <w:rFonts w:ascii="Times New Roman" w:hAnsi="Times New Roman"/>
          <w:szCs w:val="24"/>
          <w:lang w:val="pt-PT"/>
        </w:rPr>
      </w:pPr>
      <w:r>
        <w:rPr>
          <w:rFonts w:ascii="Times New Roman" w:hAnsi="Times New Roman"/>
          <w:szCs w:val="24"/>
          <w:lang w:val="pt-PT"/>
        </w:rPr>
        <w:t>Dessa forma, enveredar por uma análise que prime pela produção do espaço, dispensa ao pesquisador a responsabilidade de resgatar a relação dialética entre sociedade e natureza mediada pelo trabalho que se apresenta como uma relação metabólica entre o homem e a natureza, ou seja, uma relação que produz mudanças mútuas entre os envolvidos na relação, colocando o homem como sujeito e objeto. De acordo com o Moreira (2006), o homem como sujeito-objeto opera o salto de qualidade da história natural em história social, hominizando-se nesse processo. Moreira (2006) prossegue tecendo considerações agora sobre as esferas de interação, isto é, o homem, o trabalho e o meio ambiente.</w:t>
      </w:r>
    </w:p>
    <w:p>
      <w:pPr>
        <w:pStyle w:val="Normal"/>
        <w:ind w:left="2268" w:hanging="0"/>
        <w:jc w:val="both"/>
        <w:rPr>
          <w:rFonts w:ascii="Times New Roman" w:hAnsi="Times New Roman"/>
          <w:sz w:val="20"/>
        </w:rPr>
      </w:pPr>
      <w:r>
        <w:rPr>
          <w:rFonts w:ascii="Times New Roman" w:hAnsi="Times New Roman"/>
          <w:sz w:val="20"/>
        </w:rPr>
      </w:r>
    </w:p>
    <w:p>
      <w:pPr>
        <w:pStyle w:val="Normal"/>
        <w:ind w:left="2268" w:hanging="0"/>
        <w:jc w:val="both"/>
        <w:rPr>
          <w:rFonts w:ascii="Times New Roman" w:hAnsi="Times New Roman"/>
          <w:sz w:val="20"/>
        </w:rPr>
      </w:pPr>
      <w:r>
        <w:rPr>
          <w:rFonts w:ascii="Times New Roman" w:hAnsi="Times New Roman"/>
          <w:sz w:val="20"/>
        </w:rPr>
        <w:t>Note-se a interação entre as três esferas, mediada agora pelo homem em sua práxis do trabalho, e o meio ambiente como um movimento de auto-regulação da natureza, de que faz parte auto-reguladora o próprio homem, e temos um terreno imenso de chão para progredir nas idéias que hoje se abrem com o retorno à superfície terrestre como objeto da geografia. (MOREIRA, 2006, p. 181).</w:t>
      </w:r>
    </w:p>
    <w:p>
      <w:pPr>
        <w:pStyle w:val="Normal"/>
        <w:ind w:left="2268" w:hanging="0"/>
        <w:jc w:val="both"/>
        <w:rPr>
          <w:rFonts w:ascii="Times New Roman" w:hAnsi="Times New Roman"/>
        </w:rPr>
      </w:pPr>
      <w:r>
        <w:rPr>
          <w:rFonts w:ascii="Times New Roman" w:hAnsi="Times New Roman"/>
        </w:rPr>
      </w:r>
    </w:p>
    <w:p>
      <w:pPr>
        <w:pStyle w:val="Normal"/>
        <w:spacing w:lineRule="auto" w:line="360" w:before="0" w:after="120"/>
        <w:ind w:firstLine="1134"/>
        <w:jc w:val="both"/>
        <w:rPr>
          <w:rFonts w:ascii="Times New Roman" w:hAnsi="Times New Roman"/>
          <w:szCs w:val="24"/>
          <w:lang w:val="pt-PT"/>
        </w:rPr>
      </w:pPr>
      <w:r>
        <w:rPr>
          <w:rFonts w:ascii="Times New Roman" w:hAnsi="Times New Roman"/>
          <w:szCs w:val="24"/>
          <w:lang w:val="pt-PT"/>
        </w:rPr>
        <w:t>Neste trecho retirado de Moreira (2006) duas expressões são especialmente interessantes para a orientação da análise na pesquisa aqui proposta: primeiro, o meio ambiente como um movimento de auto-regulação da natureza. Segunda expressão especialmente interessante e diretamente relacionada à primeira, é aquela que traz o retorno a superfície terrestre como o resgate do projeto inicial da investigação geográfica. Lacoste (2012) tratou desse projeto inicial como a riqueza e o diferencial da pesquisa que teria definido como sua tarefa compreender a interação de grandes conjuntos espaciais. Um projeto ambicioso que fez com que a Geografia fosse definida como ciência de síntese. Mas esse é um enfoque que dá a necessária visualização dos elementos envolvidos na produção social do espaço. Assim, o retorno à superfície terrestre como objeto da geografia possibilita a revalorização da interação entre natureza, trabalho e homem. (Moreira, 2006).</w:t>
      </w:r>
    </w:p>
    <w:p>
      <w:pPr>
        <w:pStyle w:val="Normal"/>
        <w:spacing w:lineRule="auto" w:line="360" w:before="0" w:after="120"/>
        <w:ind w:firstLine="1134"/>
        <w:jc w:val="both"/>
        <w:rPr>
          <w:rFonts w:ascii="Times New Roman" w:hAnsi="Times New Roman"/>
          <w:szCs w:val="24"/>
          <w:lang w:val="pt-PT"/>
        </w:rPr>
      </w:pPr>
      <w:r>
        <w:rPr>
          <w:rFonts w:ascii="Times New Roman" w:hAnsi="Times New Roman"/>
          <w:szCs w:val="24"/>
          <w:lang w:val="pt-PT"/>
        </w:rPr>
        <w:t>Harvey (2005b) incorpora como um dos limites da acumulação capitalista, aqueles impostos pela natureza. E não apenas a natureza natural em sua forma de recursos materiais como a natureza humana como força de trabalho. A ideia do limite biológico da força de trabalho é apresentado na obra “Espaços de esperança”; nela, Harvey (2005) discute exaustivamente as políticas do corpo e o salário vital. Segundo sua análise, dentro de uma abordagem marxista, a energia utilizada pelo homem para realizar suas atividades precisa ser reposta e, dentro de um modo de produção baseado na expropriação, não há outro meio que possa ser usufruído pelo trabalhador para a reposição de suas forças que não seja pela elevação de sua capacidade de consumo racionalizado no âmbito capitalista. Assim, há limites impostos ao capital pela natureza, seja o ambiente natural ou a dimensão biológica do humano. Essa perspectiva é muito válida, sobretudo quando se concebe o meio ambiente como um lugar de interação entre a materialidade (natural e antrópica) e a ação humana integrada num mundo de relações sociais de diferentes níveis de capacidade de autodeterminação.</w:t>
      </w:r>
    </w:p>
    <w:p>
      <w:pPr>
        <w:pStyle w:val="Normal"/>
        <w:spacing w:lineRule="auto" w:line="360"/>
        <w:ind w:firstLine="1134"/>
        <w:jc w:val="both"/>
        <w:rPr>
          <w:rFonts w:ascii="Times New Roman" w:hAnsi="Times New Roman"/>
          <w:szCs w:val="24"/>
        </w:rPr>
      </w:pPr>
      <w:r>
        <w:rPr>
          <w:rFonts w:ascii="Times New Roman" w:hAnsi="Times New Roman"/>
          <w:szCs w:val="24"/>
        </w:rPr>
      </w:r>
    </w:p>
    <w:p>
      <w:pPr>
        <w:pStyle w:val="ListParagraph"/>
        <w:numPr>
          <w:ilvl w:val="0"/>
          <w:numId w:val="1"/>
        </w:numPr>
        <w:spacing w:lineRule="auto" w:line="360" w:before="0" w:after="120"/>
        <w:ind w:left="284" w:hanging="284"/>
        <w:contextualSpacing/>
        <w:jc w:val="both"/>
        <w:rPr>
          <w:rFonts w:ascii="Times" w:hAnsi="Times" w:eastAsia="Times"/>
          <w:b/>
          <w:b/>
          <w:sz w:val="24"/>
          <w:szCs w:val="24"/>
          <w:lang w:val="pt-PT" w:eastAsia="en-US"/>
        </w:rPr>
      </w:pPr>
      <w:r>
        <w:rPr>
          <w:rFonts w:eastAsia="Times" w:ascii="Times" w:hAnsi="Times"/>
          <w:b/>
          <w:sz w:val="24"/>
          <w:szCs w:val="24"/>
          <w:lang w:val="pt-PT" w:eastAsia="en-US"/>
        </w:rPr>
        <w:t xml:space="preserve">A vulnerabilidade socioambiental e os riscos e perigos ambientais. </w:t>
      </w:r>
    </w:p>
    <w:p>
      <w:pPr>
        <w:pStyle w:val="Normal"/>
        <w:spacing w:lineRule="auto" w:line="360" w:before="0" w:after="120"/>
        <w:jc w:val="both"/>
        <w:rPr>
          <w:b/>
          <w:b/>
          <w:szCs w:val="24"/>
          <w:lang w:val="pt-PT"/>
        </w:rPr>
      </w:pPr>
      <w:r>
        <w:rPr>
          <w:b/>
          <w:szCs w:val="24"/>
          <w:lang w:val="pt-PT"/>
        </w:rPr>
      </w:r>
    </w:p>
    <w:p>
      <w:pPr>
        <w:pStyle w:val="Normal"/>
        <w:spacing w:lineRule="auto" w:line="360" w:before="0" w:after="120"/>
        <w:ind w:firstLine="1134"/>
        <w:jc w:val="both"/>
        <w:rPr>
          <w:rFonts w:ascii="Times New Roman" w:hAnsi="Times New Roman"/>
          <w:szCs w:val="24"/>
          <w:lang w:val="pt-PT"/>
        </w:rPr>
      </w:pPr>
      <w:r>
        <w:rPr>
          <w:rFonts w:ascii="Times New Roman" w:hAnsi="Times New Roman"/>
          <w:szCs w:val="24"/>
          <w:lang w:val="pt-PT"/>
        </w:rPr>
        <w:t>Para Birkmann (2006) o risco é o produto da interação entre perigo e vulnerabilidade. Assim, ele engloba a probabilidade de ocorrência de um perigo e as consequências prejudiciais ou perdas esperadas. O perigo é entendido como um evento potencialmente danoso aos sistemas naturais ou às atividades humanas e que pode causar perdas ou lesões a vidas humanas, danos às propriedades, ruptura social e econômica ou degradação ambiental. Essa análise do risco, não abdica, portanto, da análise da vulnerabilidade socioambiental, ou seja, da capacidade de lidar, exposição e sensibilidade aos perigos, sejam eles naturais, tecnológicos ou sociais.</w:t>
      </w:r>
    </w:p>
    <w:p>
      <w:pPr>
        <w:pStyle w:val="Normal"/>
        <w:spacing w:lineRule="auto" w:line="360" w:before="0" w:after="120"/>
        <w:ind w:firstLine="1134"/>
        <w:jc w:val="both"/>
        <w:rPr>
          <w:rFonts w:ascii="Times New Roman" w:hAnsi="Times New Roman"/>
          <w:szCs w:val="24"/>
          <w:lang w:val="pt-PT"/>
        </w:rPr>
      </w:pPr>
      <w:r>
        <w:rPr>
          <w:rFonts w:ascii="Times New Roman" w:hAnsi="Times New Roman"/>
          <w:szCs w:val="24"/>
          <w:lang w:val="pt-PT"/>
        </w:rPr>
        <w:t xml:space="preserve">Tanto Birkmann (2006) quanto Cutter; Boruff e Shirley (2003) apresentam e analisam o risco como a combinação de um evento perigoso, isto é, potencialmente danoso ao sistema natural e/ou as pessoas inseridas no lugar atingido pelo perigo e da vulnerabilidade, que está relacionada à capacidade de adaptação, exposição, sensibilidade e a capacidade de lidar com o perigo. </w:t>
      </w:r>
    </w:p>
    <w:p>
      <w:pPr>
        <w:pStyle w:val="Normal"/>
        <w:spacing w:lineRule="auto" w:line="360" w:before="0" w:after="120"/>
        <w:ind w:firstLine="1134"/>
        <w:jc w:val="both"/>
        <w:rPr>
          <w:rFonts w:ascii="Times New Roman" w:hAnsi="Times New Roman"/>
          <w:szCs w:val="24"/>
          <w:lang w:val="pt-PT"/>
        </w:rPr>
      </w:pPr>
      <w:r>
        <w:rPr>
          <w:rFonts w:ascii="Times New Roman" w:hAnsi="Times New Roman"/>
          <w:szCs w:val="24"/>
          <w:lang w:val="pt-PT"/>
        </w:rPr>
        <w:t xml:space="preserve">No modelo de avaliação da vulnerabilidade do lugar apresentado por Cutter; Boruff; Shirley (2003) o risco é definido como uma medida objetiva da probabilidade de ocorrência de um evento perigoso em interface com a mitigação, isto é, medidas para reduzir os riscos ou reduzir o seu impacto e o potencial de perigo. Dessa forma, o potencial do perigo pode ser moderado ou reforçado por um filtro geográfico que se refere ao local e situação do local, a proximidade, bem como o tecido social do lugar. O tecido social inclui a experiência da comunidade com os perigos, e capacidade de responder, lidar com, recuperar e adaptar-se a perigos, que por sua vez são influenciados por características econômicas, demográficas e de habitação. Assim, as vulnerabilidades sociais e biofísicas interagem para produzir a vulnerabilidade global do lugar. </w:t>
      </w:r>
    </w:p>
    <w:p>
      <w:pPr>
        <w:pStyle w:val="Normal"/>
        <w:spacing w:lineRule="auto" w:line="360" w:before="0" w:after="120"/>
        <w:ind w:firstLine="1134"/>
        <w:jc w:val="both"/>
        <w:rPr>
          <w:rFonts w:ascii="Times New Roman" w:hAnsi="Times New Roman"/>
          <w:szCs w:val="24"/>
          <w:lang w:val="pt-PT"/>
        </w:rPr>
      </w:pPr>
      <w:r>
        <w:rPr>
          <w:rFonts w:ascii="Times New Roman" w:hAnsi="Times New Roman"/>
          <w:szCs w:val="24"/>
          <w:lang w:val="pt-PT"/>
        </w:rPr>
        <w:t>A vulnerabilidade também se apresenta como a incapacidade de enfrentar os riscos ou como impossibilidade de manejar ativos para proteger-se. Baseados em fontes variadas, Marandola Jr.; Hogan (2006), apresentam algumas possibilidades de estudo e fatores relacionados a vulnerabilidade:</w:t>
      </w:r>
    </w:p>
    <w:p>
      <w:pPr>
        <w:pStyle w:val="Normal"/>
        <w:ind w:left="2268" w:hanging="0"/>
        <w:jc w:val="both"/>
        <w:rPr>
          <w:rFonts w:ascii="Times New Roman" w:hAnsi="Times New Roman"/>
          <w:sz w:val="20"/>
        </w:rPr>
      </w:pPr>
      <w:r>
        <w:rPr>
          <w:rFonts w:ascii="Times New Roman" w:hAnsi="Times New Roman"/>
          <w:sz w:val="20"/>
        </w:rPr>
      </w:r>
    </w:p>
    <w:p>
      <w:pPr>
        <w:pStyle w:val="Normal"/>
        <w:ind w:left="2268" w:hanging="0"/>
        <w:jc w:val="both"/>
        <w:rPr>
          <w:rFonts w:ascii="Times New Roman" w:hAnsi="Times New Roman"/>
          <w:sz w:val="20"/>
        </w:rPr>
      </w:pPr>
      <w:r>
        <w:rPr>
          <w:rFonts w:ascii="Times New Roman" w:hAnsi="Times New Roman"/>
          <w:sz w:val="20"/>
        </w:rPr>
        <w:t>Os estudos demográficos da Comissión Económica para América Latina y el Caribe (Cepal), têm trabalhado também a vulnerabilidade como incapacidade de enfrentar os riscos ou como impossibilidade de manejar ativos para proteger-se (CEPAL, 2002; RODRIGUEZ, 2000). Por outro lado, capital social, humano e físico são evocados como reveladores de relações e estruturas de oportunidades que indicariam grupos populacionais mais vulneráveis (KAZTMAN, 1999; KAZTMAN; FILGUEIRA, 2006; CUNHAet al., 2006), além da importância da estrutura das famílias no enfrentamento de muitos riscos (BILAC, 2006). (MARANDOLA JR.; HOGAN, 2006, p. 36).</w:t>
      </w:r>
    </w:p>
    <w:p>
      <w:pPr>
        <w:pStyle w:val="Normal"/>
        <w:ind w:left="2268" w:hanging="0"/>
        <w:jc w:val="both"/>
        <w:rPr>
          <w:rFonts w:ascii="Times New Roman" w:hAnsi="Times New Roman"/>
          <w:sz w:val="20"/>
        </w:rPr>
      </w:pPr>
      <w:r>
        <w:rPr>
          <w:rFonts w:ascii="Times New Roman" w:hAnsi="Times New Roman"/>
          <w:sz w:val="20"/>
        </w:rPr>
      </w:r>
    </w:p>
    <w:p>
      <w:pPr>
        <w:pStyle w:val="Normal"/>
        <w:spacing w:lineRule="auto" w:line="360" w:before="0" w:after="120"/>
        <w:ind w:firstLine="1134"/>
        <w:jc w:val="both"/>
        <w:rPr>
          <w:rFonts w:ascii="Times New Roman" w:hAnsi="Times New Roman"/>
          <w:szCs w:val="24"/>
          <w:lang w:val="pt-PT"/>
        </w:rPr>
      </w:pPr>
      <w:r>
        <w:rPr>
          <w:rFonts w:ascii="Times New Roman" w:hAnsi="Times New Roman"/>
          <w:szCs w:val="24"/>
          <w:lang w:val="pt-PT"/>
        </w:rPr>
        <w:t>Ao relacionar o estudo sobre vulnerabilidades nos diversos campos do conhecimento, Marandola Jr.; Hogan (2006), destacam que nas ciências sociais incorpora-se os estudos sobre pobreza, como um conceito forte ao lado de inclusão/exclusão, marginalidade, apartheid, periferização e segregação, dependência entre outros. Mostram ainda que é na sociologia ambiental e na área de População e Ambiente que a problemática ambiental, relacionada aos riscos e perigos, é reconhecida como uma das consequências da dinâmica e da estrutura social. Dessa forma:</w:t>
      </w:r>
    </w:p>
    <w:p>
      <w:pPr>
        <w:pStyle w:val="Normal"/>
        <w:ind w:left="2268" w:hanging="0"/>
        <w:jc w:val="both"/>
        <w:rPr>
          <w:rFonts w:ascii="Times New Roman" w:hAnsi="Times New Roman"/>
          <w:sz w:val="20"/>
        </w:rPr>
      </w:pPr>
      <w:r>
        <w:rPr>
          <w:rFonts w:ascii="Times New Roman" w:hAnsi="Times New Roman"/>
          <w:sz w:val="20"/>
        </w:rPr>
      </w:r>
    </w:p>
    <w:p>
      <w:pPr>
        <w:pStyle w:val="Normal"/>
        <w:ind w:left="2268" w:hanging="0"/>
        <w:jc w:val="both"/>
        <w:rPr>
          <w:rFonts w:ascii="Times New Roman" w:hAnsi="Times New Roman"/>
          <w:sz w:val="20"/>
        </w:rPr>
      </w:pPr>
      <w:r>
        <w:rPr>
          <w:rFonts w:ascii="Times New Roman" w:hAnsi="Times New Roman"/>
          <w:sz w:val="20"/>
        </w:rPr>
        <w:t>[...] Os riscos e perigos ambientais passam a ser considerados como produtos do sistema, intrincados na trama social e fruto da modernização ecológica, da modernidade tardia e de processos de segregação e desigualdade social. [...]. (MARANDOLA JR.; HOGAN, 2006, p. 36).</w:t>
      </w:r>
    </w:p>
    <w:p>
      <w:pPr>
        <w:pStyle w:val="Normal"/>
        <w:ind w:left="2268" w:hanging="0"/>
        <w:jc w:val="both"/>
        <w:rPr>
          <w:rFonts w:ascii="Times New Roman" w:hAnsi="Times New Roman"/>
          <w:sz w:val="20"/>
        </w:rPr>
      </w:pPr>
      <w:r>
        <w:rPr>
          <w:rFonts w:ascii="Times New Roman" w:hAnsi="Times New Roman"/>
          <w:sz w:val="20"/>
        </w:rPr>
      </w:r>
    </w:p>
    <w:p>
      <w:pPr>
        <w:pStyle w:val="Normal"/>
        <w:spacing w:lineRule="auto" w:line="360" w:before="0" w:after="120"/>
        <w:ind w:firstLine="1134"/>
        <w:jc w:val="both"/>
        <w:rPr>
          <w:rFonts w:ascii="Times New Roman" w:hAnsi="Times New Roman"/>
          <w:szCs w:val="24"/>
        </w:rPr>
      </w:pPr>
      <w:r>
        <w:rPr>
          <w:rFonts w:ascii="Times New Roman" w:hAnsi="Times New Roman"/>
          <w:szCs w:val="24"/>
        </w:rPr>
        <w:t>Para Acselrad (2006) a vulnerabilização é o processo que gera a vulnerabilidade. Tal processo se desenvolve no contexto socioeconômico e sociopolítico que promovem a distribuição desigual de equipamentos, ou seja, estaria relacionado a decisões de natureza distributiva. Dessa forma, a vulnerabilidade é socialmente produzida, mesmo os diferentes níveis de vulnerabilidade socioambiental.</w:t>
      </w:r>
    </w:p>
    <w:p>
      <w:pPr>
        <w:pStyle w:val="Normal"/>
        <w:spacing w:lineRule="auto" w:line="360" w:before="0" w:after="120"/>
        <w:ind w:firstLine="1134"/>
        <w:jc w:val="both"/>
        <w:rPr>
          <w:rFonts w:ascii="Times New Roman" w:hAnsi="Times New Roman"/>
          <w:szCs w:val="24"/>
        </w:rPr>
      </w:pPr>
      <w:r>
        <w:rPr>
          <w:rFonts w:ascii="Times New Roman" w:hAnsi="Times New Roman"/>
          <w:szCs w:val="24"/>
        </w:rPr>
        <w:t>As decisões políticas são espacializadas. Tais decisões se dão no contexto dos modelos decisórios dentre os quais está o modelo democrático. Vale ressaltar que a política é uma das dimensões analisadas no processo de produção do espaço, conforme destacado por Barrios (1978). Interessa determinar e assim interromper os processos decisórios que impõem riscos aos mais desprotegidos – decisões para alocação de equipamentos danosos e dinâmicas inigualitárias do mercado de terras, isto é:</w:t>
      </w:r>
    </w:p>
    <w:p>
      <w:pPr>
        <w:pStyle w:val="Normal"/>
        <w:ind w:left="2268" w:hanging="0"/>
        <w:jc w:val="both"/>
        <w:rPr>
          <w:rFonts w:ascii="Times New Roman" w:hAnsi="Times New Roman"/>
          <w:sz w:val="20"/>
        </w:rPr>
      </w:pPr>
      <w:r>
        <w:rPr>
          <w:rFonts w:ascii="Times New Roman" w:hAnsi="Times New Roman"/>
          <w:sz w:val="20"/>
        </w:rPr>
      </w:r>
    </w:p>
    <w:p>
      <w:pPr>
        <w:pStyle w:val="Normal"/>
        <w:ind w:left="2268" w:hanging="0"/>
        <w:jc w:val="both"/>
        <w:rPr>
          <w:rFonts w:ascii="Times New Roman" w:hAnsi="Times New Roman"/>
          <w:sz w:val="20"/>
        </w:rPr>
      </w:pPr>
      <w:r>
        <w:rPr>
          <w:rFonts w:ascii="Times New Roman" w:hAnsi="Times New Roman"/>
          <w:sz w:val="20"/>
        </w:rPr>
        <w:t>Fatores com ação diferenciada concorrem para a maior ou menor exposição ao agravo ou a maior ou menor chance de proteção contra ele. Isto porque há mecanismos de distribuição desigual de tal proteção. Estes fatores são objetivos, sim: uns têm o poder de se proteger, de se tornarem menos vulneráveis – via mobilidade espacial, influência nos processos decisórios, controle do mercado das localizações etc., enquanto que outros terão sua mobilidade restrita aos circuitos da vulnerabilidade – de debaixo de um viaduto para cima de um oleoduto etc... Mas há também fatores subjetivos – ocorrem diferentes concepções do que seja tolerável ou intolerável numa dada condição de existência. A condição de vulnerabilidade é, pois, socialmente construída.  (ACSELRAD, 2006, p. 2-3).</w:t>
      </w:r>
    </w:p>
    <w:p>
      <w:pPr>
        <w:pStyle w:val="Normal"/>
        <w:ind w:left="2268" w:hanging="0"/>
        <w:jc w:val="both"/>
        <w:rPr>
          <w:rFonts w:ascii="Times New Roman" w:hAnsi="Times New Roman"/>
          <w:sz w:val="20"/>
        </w:rPr>
      </w:pPr>
      <w:r>
        <w:rPr>
          <w:rFonts w:ascii="Times New Roman" w:hAnsi="Times New Roman"/>
          <w:sz w:val="20"/>
        </w:rPr>
      </w:r>
    </w:p>
    <w:p>
      <w:pPr>
        <w:pStyle w:val="Normal"/>
        <w:spacing w:lineRule="auto" w:line="360" w:before="0" w:after="120"/>
        <w:ind w:firstLine="1134"/>
        <w:jc w:val="both"/>
        <w:rPr>
          <w:rFonts w:ascii="Times New Roman" w:hAnsi="Times New Roman"/>
          <w:szCs w:val="24"/>
        </w:rPr>
      </w:pPr>
      <w:r>
        <w:rPr>
          <w:rFonts w:ascii="Times New Roman" w:hAnsi="Times New Roman"/>
          <w:szCs w:val="24"/>
        </w:rPr>
        <w:t>Acselrad (2006) ainda destaca que na expressão dos mecanismos relacionados à vulnerabilidade, algumas formas de ver a realidade social podem ofuscar a percepção dos fatores que produzem a vulnerabilidade, destacando, assim, a sociologia da recusa e do consentimento na visualização das condições de vulnerabilidade. A falta de questionamento quanto a sua própria condição se refere ao consentimento. Pois que a vulnerabilidade é uma relação e não uma carência. “Consideradas, pois, as relações e contextos, há diferentes ‘vulnerabilidades’, diferentes situações e condições que se articulam nos distintos momentos e localizações.” (ACSELRAD, 2006, p. 5). Então é preciso estabelecer a dimensão societal da vulnerabilização caracterizando os processos envolvidos para os fins de sua posterior interrupção.</w:t>
      </w:r>
    </w:p>
    <w:p>
      <w:pPr>
        <w:pStyle w:val="Normal"/>
        <w:spacing w:lineRule="auto" w:line="360" w:before="0" w:after="120"/>
        <w:ind w:firstLine="1134"/>
        <w:jc w:val="both"/>
        <w:rPr>
          <w:rFonts w:ascii="Times New Roman" w:hAnsi="Times New Roman"/>
          <w:szCs w:val="24"/>
          <w:lang w:val="pt-PT"/>
        </w:rPr>
      </w:pPr>
      <w:r>
        <w:rPr>
          <w:rFonts w:ascii="Times New Roman" w:hAnsi="Times New Roman"/>
          <w:szCs w:val="24"/>
          <w:lang w:val="pt-PT"/>
        </w:rPr>
        <w:t>Herculano (2002), em artigo pioneiro na discussão sobre a relação entre riscos ambientais e injustiça ambiental no Brasil, alerta que o conceito de “sociedade de riscos” pode ofuscar a percepção de que o risco ambiental não é tão democrático quanto se acredita ser. Essa autora considera que esse conceito mascara a percepção de que o risco é desigualmente distribuído na sociaedade, sendo diferentemente potencializado conforme a situação socioeconômica do indivíduo ou coletividade afetada. Isso implica que determinado perigo natural ou, ainda, a distribuição dos riscos tecnológicos varie conforme a distribuição espacial das classes sociais.</w:t>
      </w:r>
    </w:p>
    <w:p>
      <w:pPr>
        <w:pStyle w:val="Normal"/>
        <w:ind w:left="2268" w:hanging="0"/>
        <w:jc w:val="both"/>
        <w:rPr>
          <w:rFonts w:ascii="Times New Roman" w:hAnsi="Times New Roman" w:eastAsia="Calibri"/>
          <w:sz w:val="20"/>
        </w:rPr>
      </w:pPr>
      <w:r>
        <w:rPr>
          <w:rFonts w:eastAsia="Calibri" w:ascii="Times New Roman" w:hAnsi="Times New Roman"/>
          <w:sz w:val="20"/>
        </w:rPr>
      </w:r>
    </w:p>
    <w:p>
      <w:pPr>
        <w:pStyle w:val="Normal"/>
        <w:ind w:left="2268" w:hanging="0"/>
        <w:jc w:val="both"/>
        <w:rPr>
          <w:rFonts w:ascii="Times New Roman" w:hAnsi="Times New Roman" w:eastAsia="Calibri"/>
          <w:sz w:val="20"/>
        </w:rPr>
      </w:pPr>
      <w:r>
        <w:rPr>
          <w:rFonts w:eastAsia="Calibri" w:ascii="Times New Roman" w:hAnsi="Times New Roman"/>
          <w:sz w:val="20"/>
        </w:rPr>
        <w:t>[...] o conceito obscurece o fato de que as hierarquias continuam e se acentuam e de que, pelo menos por enquanto, os riscos ambientais têm limites e são sofridos pelos mais pobres, pelas classes subalternas. E, justamente porque são empurrados para os mais vulneráveis, tornam-se insolúveis, invisíveis, mas crescentes. (HERCULANO, 2002, p. 2).</w:t>
      </w:r>
    </w:p>
    <w:p>
      <w:pPr>
        <w:pStyle w:val="Normal"/>
        <w:ind w:left="2268" w:hanging="0"/>
        <w:jc w:val="both"/>
        <w:rPr>
          <w:rFonts w:ascii="Times New Roman" w:hAnsi="Times New Roman" w:eastAsia="Calibri"/>
          <w:sz w:val="20"/>
        </w:rPr>
      </w:pPr>
      <w:r>
        <w:rPr>
          <w:rFonts w:eastAsia="Calibri" w:ascii="Times New Roman" w:hAnsi="Times New Roman"/>
          <w:sz w:val="20"/>
        </w:rPr>
      </w:r>
    </w:p>
    <w:p>
      <w:pPr>
        <w:pStyle w:val="Normal"/>
        <w:spacing w:lineRule="auto" w:line="360" w:before="0" w:after="120"/>
        <w:ind w:firstLine="1134"/>
        <w:jc w:val="both"/>
        <w:rPr>
          <w:rFonts w:ascii="Times New Roman" w:hAnsi="Times New Roman"/>
          <w:szCs w:val="24"/>
          <w:lang w:val="pt-PT"/>
        </w:rPr>
      </w:pPr>
      <w:r>
        <w:rPr>
          <w:rFonts w:ascii="Times New Roman" w:hAnsi="Times New Roman"/>
          <w:szCs w:val="24"/>
          <w:lang w:val="pt-PT"/>
        </w:rPr>
        <w:t>Dessa forma, a produção social do espaço não só pode ser incorporada nos estudos sobre riscos e vulnerabilidades socioambientais na pesquisa geográfica e nas políticas ambientais e urbanas das instâncias de governo como também na instrumentalização dessas mesmas políticas através da compreensão da totalidade social espacializada por meio das práticas econômicas, políticas e culturais.</w:t>
      </w:r>
    </w:p>
    <w:p>
      <w:pPr>
        <w:pStyle w:val="Normal"/>
        <w:spacing w:lineRule="auto" w:line="360" w:before="0" w:after="120"/>
        <w:ind w:firstLine="1134"/>
        <w:jc w:val="both"/>
        <w:rPr>
          <w:rFonts w:ascii="Times New Roman" w:hAnsi="Times New Roman"/>
          <w:szCs w:val="24"/>
          <w:lang w:val="pt-PT"/>
        </w:rPr>
      </w:pPr>
      <w:r>
        <w:rPr>
          <w:rFonts w:ascii="Times New Roman" w:hAnsi="Times New Roman"/>
          <w:szCs w:val="24"/>
          <w:lang w:val="pt-PT"/>
        </w:rPr>
        <w:t>Marandola Jr. &amp; Hogan (2006) apontaram que, no Brasil, os estudos sobre áreas de risco se conformam, basicamente, em duas abordagens. A primeira leva em consideração um conjunto de fatores naturais que expressam a fragilidade do sistema natural de uma determinada área a um evento perigoso seja ele de origem natural ou antrópica. A segunda, que não está isolada da primeira, considera as restrições a habitabilidade em função dos riscos de ocorrências de eventos perigosos que possam causar danos, perdas de vidas humanas e materiais, ou seja, trata-se de áreas que apresentam significativa exposição a um evento perigoso, seja ele de origem natural, tecnológico ou social, produzindo, assim, incompatibilidade com a presença humana. E dependendo da probabilidade de ocorrência do evento perigoso, no caso de já existir a presença humana, recomenda-se a remoção das pessoas ou a gestão do risco.</w:t>
      </w:r>
    </w:p>
    <w:p>
      <w:pPr>
        <w:pStyle w:val="Normal"/>
        <w:spacing w:lineRule="auto" w:line="360"/>
        <w:ind w:firstLine="1134"/>
        <w:jc w:val="both"/>
        <w:rPr>
          <w:rFonts w:ascii="Times New Roman" w:hAnsi="Times New Roman"/>
          <w:sz w:val="20"/>
        </w:rPr>
      </w:pPr>
      <w:r>
        <w:rPr>
          <w:rFonts w:ascii="Times New Roman" w:hAnsi="Times New Roman"/>
          <w:szCs w:val="24"/>
        </w:rPr>
        <w:t>De acordo com Marandola Jr.; Hogan (2006) que os estudos sobre vulnerabilidades devem ser orientados a partir de questionamentos, sendo os principais: Vulnerabilidade a que? Ou seja, a vulnerabilidade sempre será definida a partir de um perigo ou um conjunto deles em dado contexto geográfico e social; onde e quem é ou está vulnerável? Estes questionamentos levam a delimitações que possibilitam identificar os fatores que podem promover a diminuição da vulnerabilidade, bem como as situações ou elementos que aumentam o risco. (MARANDOLA JR.; HOGAN, 2006).</w:t>
      </w:r>
    </w:p>
    <w:p>
      <w:pPr>
        <w:pStyle w:val="Normal"/>
        <w:ind w:left="2268" w:hanging="0"/>
        <w:jc w:val="both"/>
        <w:rPr>
          <w:rFonts w:ascii="Times New Roman" w:hAnsi="Times New Roman"/>
          <w:sz w:val="20"/>
        </w:rPr>
      </w:pPr>
      <w:r>
        <w:rPr>
          <w:rFonts w:ascii="Times New Roman" w:hAnsi="Times New Roman"/>
          <w:sz w:val="20"/>
        </w:rPr>
      </w:r>
    </w:p>
    <w:p>
      <w:pPr>
        <w:pStyle w:val="Normal"/>
        <w:ind w:left="2268" w:hanging="0"/>
        <w:jc w:val="both"/>
        <w:rPr>
          <w:rFonts w:ascii="Times New Roman" w:hAnsi="Times New Roman"/>
          <w:sz w:val="20"/>
        </w:rPr>
      </w:pPr>
      <w:r>
        <w:rPr>
          <w:rFonts w:ascii="Times New Roman" w:hAnsi="Times New Roman"/>
          <w:sz w:val="20"/>
        </w:rPr>
        <w:t>[...] o profundo conhecimento do perigo (o evento) e dos processos envolvidos no contexto social e geográfico, colocados numa escala adequada para a sua apreensão, é vital para que as estruturas que configuram a vulnerabilidade possam ser elucidadas e compreendidas de forma contextual. (MARANDOLA JR.; HOGAN, 2006, p. 37).</w:t>
      </w:r>
    </w:p>
    <w:p>
      <w:pPr>
        <w:pStyle w:val="Normal"/>
        <w:ind w:left="2268" w:hanging="0"/>
        <w:jc w:val="both"/>
        <w:rPr>
          <w:rFonts w:ascii="Times New Roman" w:hAnsi="Times New Roman"/>
          <w:sz w:val="20"/>
        </w:rPr>
      </w:pPr>
      <w:r>
        <w:rPr>
          <w:rFonts w:ascii="Times New Roman" w:hAnsi="Times New Roman"/>
          <w:sz w:val="20"/>
        </w:rPr>
      </w:r>
    </w:p>
    <w:p>
      <w:pPr>
        <w:pStyle w:val="Normal"/>
        <w:spacing w:lineRule="auto" w:line="360"/>
        <w:ind w:firstLine="1134"/>
        <w:jc w:val="both"/>
        <w:rPr>
          <w:rFonts w:ascii="Times New Roman" w:hAnsi="Times New Roman"/>
          <w:szCs w:val="24"/>
        </w:rPr>
      </w:pPr>
      <w:r>
        <w:rPr>
          <w:rFonts w:ascii="Times New Roman" w:hAnsi="Times New Roman"/>
          <w:szCs w:val="24"/>
        </w:rPr>
        <w:t xml:space="preserve">Assim, um estudo consistente de avaliação da vulnerabilidade socioambiental deve considerar o quadro sobre o contexto social e geográfico e o perigo associado ao grupo delimitado espacial e temporalmente.  </w:t>
      </w:r>
    </w:p>
    <w:p>
      <w:pPr>
        <w:pStyle w:val="Normal"/>
        <w:ind w:left="2268" w:hanging="0"/>
        <w:jc w:val="both"/>
        <w:rPr>
          <w:rFonts w:ascii="Times New Roman" w:hAnsi="Times New Roman"/>
          <w:sz w:val="20"/>
        </w:rPr>
      </w:pPr>
      <w:r>
        <w:rPr>
          <w:rFonts w:ascii="Times New Roman" w:hAnsi="Times New Roman"/>
          <w:sz w:val="20"/>
        </w:rPr>
      </w:r>
    </w:p>
    <w:p>
      <w:pPr>
        <w:pStyle w:val="Normal"/>
        <w:ind w:left="2268" w:hanging="0"/>
        <w:jc w:val="both"/>
        <w:rPr>
          <w:rFonts w:ascii="Times New Roman" w:hAnsi="Times New Roman"/>
          <w:sz w:val="20"/>
        </w:rPr>
      </w:pPr>
      <w:r>
        <w:rPr>
          <w:rFonts w:ascii="Times New Roman" w:hAnsi="Times New Roman"/>
          <w:sz w:val="20"/>
        </w:rPr>
        <w:t>[...] Uma avaliação da vulnerabilidade passa pela compreensão do perigo envolvido (eventos que causam danos), do contexto geográfico e da produção social (as relações sociais, culturais, políticas, econômicas e a situação das instituições), que revelarão os elementos constituintes da capacidade de resposta, absorção e ajustamento que aquela sociedade ou lugar possuem para enfrentar o perigo. (MARANDOLA JR.; HOGAN, 2006, p. 35).</w:t>
      </w:r>
    </w:p>
    <w:p>
      <w:pPr>
        <w:pStyle w:val="Normal"/>
        <w:ind w:left="2268" w:hanging="0"/>
        <w:jc w:val="both"/>
        <w:rPr>
          <w:rFonts w:ascii="Times New Roman" w:hAnsi="Times New Roman"/>
          <w:sz w:val="20"/>
        </w:rPr>
      </w:pPr>
      <w:r>
        <w:rPr>
          <w:rFonts w:ascii="Times New Roman" w:hAnsi="Times New Roman"/>
          <w:sz w:val="20"/>
        </w:rPr>
      </w:r>
    </w:p>
    <w:p>
      <w:pPr>
        <w:pStyle w:val="Normal"/>
        <w:spacing w:lineRule="auto" w:line="360" w:before="0" w:after="120"/>
        <w:ind w:firstLine="1134"/>
        <w:jc w:val="both"/>
        <w:rPr>
          <w:rFonts w:ascii="Times New Roman" w:hAnsi="Times New Roman"/>
          <w:szCs w:val="24"/>
          <w:lang w:val="pt-PT"/>
        </w:rPr>
      </w:pPr>
      <w:r>
        <w:rPr>
          <w:rFonts w:ascii="Times New Roman" w:hAnsi="Times New Roman"/>
          <w:szCs w:val="24"/>
        </w:rPr>
        <w:t xml:space="preserve">Portanto, o quadro social e geográfico associado à um perigo natural ou tecnológico é que vai dar os elementos para a avaliação da vulnerabilidade socioambiental em dada unidade espacial. </w:t>
      </w:r>
      <w:r>
        <w:rPr>
          <w:rFonts w:ascii="Times New Roman" w:hAnsi="Times New Roman"/>
          <w:szCs w:val="24"/>
          <w:lang w:val="pt-PT"/>
        </w:rPr>
        <w:t>Dessa maneira, os estudos sobre vulnerabilidades socioambientais urbanas não podem prescindir de uma profunda análise da estrutura social e da própria estrutura espacial urbana e da apropriação desigual de recursos ambientais e de equipamentos e serviços urbanos, uma vez que a vulnerabilidade, assim, como os riscos ambientais e o espaço geográfico são socialmente produzidos.</w:t>
      </w:r>
    </w:p>
    <w:p>
      <w:pPr>
        <w:pStyle w:val="Normal"/>
        <w:spacing w:lineRule="auto" w:line="360" w:before="0" w:after="120"/>
        <w:ind w:firstLine="1134"/>
        <w:jc w:val="both"/>
        <w:rPr>
          <w:rFonts w:ascii="Times New Roman" w:hAnsi="Times New Roman"/>
          <w:szCs w:val="24"/>
          <w:lang w:val="pt-PT"/>
        </w:rPr>
      </w:pPr>
      <w:r>
        <w:rPr>
          <w:rFonts w:ascii="Times New Roman" w:hAnsi="Times New Roman"/>
          <w:szCs w:val="24"/>
          <w:lang w:val="pt-PT"/>
        </w:rPr>
      </w:r>
    </w:p>
    <w:p>
      <w:pPr>
        <w:pStyle w:val="Normal"/>
        <w:numPr>
          <w:ilvl w:val="0"/>
          <w:numId w:val="1"/>
        </w:numPr>
        <w:spacing w:lineRule="auto" w:line="360" w:before="0" w:after="120"/>
        <w:ind w:left="284" w:hanging="284"/>
        <w:jc w:val="both"/>
        <w:rPr>
          <w:rFonts w:ascii="Times New Roman" w:hAnsi="Times New Roman"/>
          <w:b/>
          <w:b/>
          <w:szCs w:val="24"/>
        </w:rPr>
      </w:pPr>
      <w:r>
        <w:rPr>
          <w:rFonts w:ascii="Times New Roman" w:hAnsi="Times New Roman"/>
          <w:b/>
          <w:szCs w:val="24"/>
        </w:rPr>
        <w:t>Considerações Finais</w:t>
      </w:r>
    </w:p>
    <w:p>
      <w:pPr>
        <w:pStyle w:val="Normal"/>
        <w:spacing w:lineRule="auto" w:line="360" w:before="0" w:after="120"/>
        <w:ind w:left="284" w:hanging="0"/>
        <w:jc w:val="both"/>
        <w:rPr>
          <w:rFonts w:ascii="Times New Roman" w:hAnsi="Times New Roman"/>
          <w:b/>
          <w:b/>
          <w:szCs w:val="24"/>
        </w:rPr>
      </w:pPr>
      <w:r>
        <w:rPr>
          <w:rFonts w:ascii="Times New Roman" w:hAnsi="Times New Roman"/>
          <w:b/>
          <w:szCs w:val="24"/>
        </w:rPr>
      </w:r>
    </w:p>
    <w:p>
      <w:pPr>
        <w:pStyle w:val="Normal"/>
        <w:spacing w:lineRule="auto" w:line="360" w:before="0" w:after="120"/>
        <w:ind w:firstLine="1134"/>
        <w:jc w:val="both"/>
        <w:rPr>
          <w:rFonts w:ascii="Times New Roman" w:hAnsi="Times New Roman"/>
          <w:szCs w:val="24"/>
          <w:lang w:val="pt-PT"/>
        </w:rPr>
      </w:pPr>
      <w:r>
        <w:rPr>
          <w:rFonts w:ascii="Times New Roman" w:hAnsi="Times New Roman"/>
          <w:szCs w:val="24"/>
          <w:lang w:val="pt-PT"/>
        </w:rPr>
        <w:t>Os estudos em torno da problemática ambiental contemporânea, especialmente no espaço urbano, sugere a retomada e valorização da dialética da relação homem-natureza. Tal relação, mediada pelo trabalho e pela relação social entre os seres humanos, conduz à investigação sobre a produção social do espaço para se compreender como se dá construção social do risco e dos níveis de vulnerabilidade socioambiental.</w:t>
      </w:r>
    </w:p>
    <w:p>
      <w:pPr>
        <w:pStyle w:val="Normal"/>
        <w:spacing w:lineRule="auto" w:line="360" w:before="0" w:after="120"/>
        <w:ind w:firstLine="1134"/>
        <w:jc w:val="both"/>
        <w:rPr>
          <w:rFonts w:ascii="Times New Roman" w:hAnsi="Times New Roman"/>
          <w:szCs w:val="24"/>
          <w:lang w:val="pt-PT"/>
        </w:rPr>
      </w:pPr>
      <w:r>
        <w:rPr>
          <w:rFonts w:ascii="Times New Roman" w:hAnsi="Times New Roman"/>
          <w:szCs w:val="24"/>
          <w:lang w:val="pt-PT"/>
        </w:rPr>
        <w:t>A cidade, por se tratar de um espaço bastante transformado, exige aprofundada análise da produção do espaço, resgatando diferentes escalas espaciais e temporais.  A identificação do papel dos recursos ambientais na problemática socioambiental urbana, e sua  relação com os diferentes níveis de vulnerabilidade é algo que a geografia tem grande contribuição a dar e já se observam diversos estudos que apontam nessa direção.</w:t>
      </w:r>
    </w:p>
    <w:p>
      <w:pPr>
        <w:pStyle w:val="Normal"/>
        <w:spacing w:before="480" w:after="240"/>
        <w:rPr>
          <w:b/>
          <w:b/>
          <w:szCs w:val="24"/>
          <w:lang w:val="pt-PT"/>
        </w:rPr>
      </w:pPr>
      <w:r>
        <w:rPr>
          <w:b/>
          <w:szCs w:val="24"/>
          <w:lang w:val="pt-PT"/>
        </w:rPr>
        <w:t>5. Bibliografia</w:t>
      </w:r>
    </w:p>
    <w:p>
      <w:pPr>
        <w:pStyle w:val="Normal"/>
        <w:spacing w:before="0" w:after="120"/>
        <w:jc w:val="both"/>
        <w:rPr>
          <w:rFonts w:ascii="Times New Roman" w:hAnsi="Times New Roman"/>
          <w:sz w:val="20"/>
        </w:rPr>
      </w:pPr>
      <w:r>
        <w:rPr>
          <w:rFonts w:ascii="Times New Roman" w:hAnsi="Times New Roman"/>
          <w:sz w:val="20"/>
        </w:rPr>
        <w:t xml:space="preserve">ACSELRAD, H. Vulnerabilidade ambiental, processos e relações. Comunicação ao </w:t>
      </w:r>
      <w:r>
        <w:rPr>
          <w:rFonts w:ascii="Times New Roman" w:hAnsi="Times New Roman"/>
          <w:b/>
          <w:sz w:val="20"/>
        </w:rPr>
        <w:t>II Encontro de produtores de informações sociais, econômicas e territoriais.</w:t>
      </w:r>
      <w:r>
        <w:rPr>
          <w:rFonts w:ascii="Times New Roman" w:hAnsi="Times New Roman"/>
          <w:sz w:val="20"/>
        </w:rPr>
        <w:t xml:space="preserve"> FIBGE, Rio de Janeiro, 24/08/2006.</w:t>
      </w:r>
    </w:p>
    <w:p>
      <w:pPr>
        <w:pStyle w:val="Normal"/>
        <w:spacing w:before="0" w:after="120"/>
        <w:jc w:val="both"/>
        <w:rPr>
          <w:rFonts w:ascii="Times New Roman" w:hAnsi="Times New Roman"/>
          <w:sz w:val="20"/>
        </w:rPr>
      </w:pPr>
      <w:r>
        <w:rPr>
          <w:rFonts w:ascii="Times New Roman" w:hAnsi="Times New Roman"/>
          <w:sz w:val="20"/>
        </w:rPr>
        <w:t xml:space="preserve">BIRKMANN, J. Measuring vulnerability to promote disaster-resilient societies: conceptual frameworks and definitions. In: BIRKMANN, J (ed.) </w:t>
      </w:r>
      <w:r>
        <w:rPr>
          <w:rFonts w:ascii="Times New Roman" w:hAnsi="Times New Roman"/>
          <w:b/>
          <w:sz w:val="20"/>
        </w:rPr>
        <w:t>Measuring vulnerability to natural hazards</w:t>
      </w:r>
      <w:r>
        <w:rPr>
          <w:rFonts w:ascii="Times New Roman" w:hAnsi="Times New Roman"/>
          <w:sz w:val="20"/>
        </w:rPr>
        <w:t>: towards disaster resilient societies. New Deli, India: Teri Press, 2006.</w:t>
      </w:r>
    </w:p>
    <w:p>
      <w:pPr>
        <w:pStyle w:val="Normal"/>
        <w:spacing w:before="0" w:after="120"/>
        <w:jc w:val="both"/>
        <w:rPr>
          <w:rFonts w:ascii="Times New Roman" w:hAnsi="Times New Roman"/>
          <w:sz w:val="20"/>
        </w:rPr>
      </w:pPr>
      <w:r>
        <w:rPr>
          <w:rFonts w:ascii="Times New Roman" w:hAnsi="Times New Roman"/>
          <w:sz w:val="20"/>
        </w:rPr>
        <w:t xml:space="preserve">CUTTER, S. L.; BORUFF, B. J.; SHIRLEY, W. L. Social Vulnerability to Environmental Hazards. </w:t>
      </w:r>
      <w:r>
        <w:rPr>
          <w:rFonts w:ascii="Times New Roman" w:hAnsi="Times New Roman"/>
          <w:b/>
          <w:sz w:val="20"/>
        </w:rPr>
        <w:t>Social science quarterly</w:t>
      </w:r>
      <w:r>
        <w:rPr>
          <w:rFonts w:ascii="Times New Roman" w:hAnsi="Times New Roman"/>
          <w:sz w:val="20"/>
        </w:rPr>
        <w:t>, volume 84, number 2, june, 2003.</w:t>
      </w:r>
    </w:p>
    <w:p>
      <w:pPr>
        <w:pStyle w:val="Normal"/>
        <w:spacing w:before="0" w:after="120"/>
        <w:jc w:val="both"/>
        <w:rPr>
          <w:rFonts w:ascii="Times New Roman" w:hAnsi="Times New Roman"/>
          <w:sz w:val="20"/>
        </w:rPr>
      </w:pPr>
      <w:r>
        <w:rPr>
          <w:rFonts w:ascii="Times New Roman" w:hAnsi="Times New Roman"/>
          <w:sz w:val="20"/>
        </w:rPr>
        <w:t xml:space="preserve">HARVEY, D. </w:t>
      </w:r>
      <w:r>
        <w:rPr>
          <w:rFonts w:ascii="Times New Roman" w:hAnsi="Times New Roman"/>
          <w:b/>
          <w:sz w:val="20"/>
        </w:rPr>
        <w:t>Espaços de esperança.</w:t>
      </w:r>
      <w:r>
        <w:rPr>
          <w:rFonts w:ascii="Times New Roman" w:hAnsi="Times New Roman"/>
          <w:sz w:val="20"/>
        </w:rPr>
        <w:t xml:space="preserve"> São Paulo: Edições Loyola, 2005.</w:t>
      </w:r>
    </w:p>
    <w:p>
      <w:pPr>
        <w:pStyle w:val="Normal"/>
        <w:spacing w:before="0" w:after="120"/>
        <w:jc w:val="both"/>
        <w:rPr>
          <w:rFonts w:ascii="Times New Roman" w:hAnsi="Times New Roman"/>
          <w:sz w:val="20"/>
        </w:rPr>
      </w:pPr>
      <w:r>
        <w:rPr>
          <w:rFonts w:ascii="Times New Roman" w:hAnsi="Times New Roman"/>
          <w:sz w:val="20"/>
        </w:rPr>
        <w:t xml:space="preserve">______. </w:t>
      </w:r>
      <w:r>
        <w:rPr>
          <w:rFonts w:ascii="Times New Roman" w:hAnsi="Times New Roman"/>
          <w:b/>
          <w:sz w:val="20"/>
        </w:rPr>
        <w:t>A produção capitalista do espaço</w:t>
      </w:r>
      <w:r>
        <w:rPr>
          <w:rFonts w:ascii="Times New Roman" w:hAnsi="Times New Roman"/>
          <w:sz w:val="20"/>
        </w:rPr>
        <w:t>. São Paulo: Annablume, 2005b.</w:t>
      </w:r>
    </w:p>
    <w:p>
      <w:pPr>
        <w:pStyle w:val="Normal"/>
        <w:spacing w:before="0" w:after="120"/>
        <w:jc w:val="both"/>
        <w:rPr>
          <w:rFonts w:ascii="Times New Roman" w:hAnsi="Times New Roman" w:eastAsia="Calibri"/>
          <w:sz w:val="20"/>
        </w:rPr>
      </w:pPr>
      <w:r>
        <w:rPr>
          <w:rFonts w:eastAsia="Calibri" w:ascii="Times New Roman" w:hAnsi="Times New Roman"/>
          <w:sz w:val="20"/>
        </w:rPr>
        <w:t>HERCULANO, S. Riscos e desigualdade social: a temática da Justiça Ambiental e sua construção no Brasil. In: I ENCONTRO DA ANPPAS, 2002, Indaiatuba/SP. Anais. Indaiatuba: ANPPAS, 2002.</w:t>
      </w:r>
    </w:p>
    <w:p>
      <w:pPr>
        <w:pStyle w:val="Normal"/>
        <w:spacing w:before="0" w:after="120"/>
        <w:jc w:val="both"/>
        <w:rPr>
          <w:rFonts w:ascii="Times New Roman" w:hAnsi="Times New Roman"/>
          <w:sz w:val="20"/>
        </w:rPr>
      </w:pPr>
      <w:r>
        <w:rPr>
          <w:rFonts w:ascii="Times New Roman" w:hAnsi="Times New Roman"/>
          <w:sz w:val="20"/>
        </w:rPr>
        <w:t xml:space="preserve">LACOSTE, Y. </w:t>
      </w:r>
      <w:r>
        <w:rPr>
          <w:rFonts w:ascii="Times New Roman" w:hAnsi="Times New Roman"/>
          <w:b/>
          <w:sz w:val="20"/>
        </w:rPr>
        <w:t>A geografia, isso serve em primeiro lugar, para fazer a guerra.</w:t>
      </w:r>
      <w:r>
        <w:rPr>
          <w:rFonts w:ascii="Times New Roman" w:hAnsi="Times New Roman"/>
          <w:sz w:val="20"/>
        </w:rPr>
        <w:t xml:space="preserve"> 19ª edição. São Paulo: Papirus, 2012.</w:t>
      </w:r>
    </w:p>
    <w:p>
      <w:pPr>
        <w:pStyle w:val="Normal"/>
        <w:spacing w:before="0" w:after="120"/>
        <w:jc w:val="both"/>
        <w:rPr>
          <w:rFonts w:ascii="Times New Roman" w:hAnsi="Times New Roman"/>
          <w:sz w:val="20"/>
        </w:rPr>
      </w:pPr>
      <w:r>
        <w:rPr>
          <w:rFonts w:ascii="Times New Roman" w:hAnsi="Times New Roman"/>
          <w:sz w:val="20"/>
        </w:rPr>
        <w:t xml:space="preserve">MARANDOLA JR., E; HOGAN, D. J. As dimensões da vulnerabilidade. </w:t>
      </w:r>
      <w:r>
        <w:rPr>
          <w:rFonts w:ascii="Times New Roman" w:hAnsi="Times New Roman"/>
          <w:b/>
          <w:sz w:val="20"/>
        </w:rPr>
        <w:t>São Paulo em perspectiva</w:t>
      </w:r>
      <w:r>
        <w:rPr>
          <w:rFonts w:ascii="Times New Roman" w:hAnsi="Times New Roman"/>
          <w:sz w:val="20"/>
        </w:rPr>
        <w:t>, v. 20, n. 1, p. 33-43, jan./mar., 2006.</w:t>
      </w:r>
    </w:p>
    <w:p>
      <w:pPr>
        <w:pStyle w:val="Normal"/>
        <w:spacing w:before="0" w:after="120"/>
        <w:jc w:val="both"/>
        <w:rPr>
          <w:rFonts w:ascii="Times New Roman" w:hAnsi="Times New Roman"/>
          <w:sz w:val="20"/>
        </w:rPr>
      </w:pPr>
      <w:r>
        <w:rPr>
          <w:rFonts w:ascii="Times New Roman" w:hAnsi="Times New Roman"/>
          <w:sz w:val="20"/>
        </w:rPr>
        <w:t xml:space="preserve">MENDONÇA, F. de A. &amp; LEITÃO, S. A. M. Riscos e vulnerabilidade socioambiental urbana: uma perspectiva a partir dos recursos hídricos. </w:t>
      </w:r>
      <w:r>
        <w:rPr>
          <w:rFonts w:ascii="Times New Roman" w:hAnsi="Times New Roman"/>
          <w:b/>
          <w:sz w:val="20"/>
        </w:rPr>
        <w:t>Geotextos</w:t>
      </w:r>
      <w:r>
        <w:rPr>
          <w:rFonts w:ascii="Times New Roman" w:hAnsi="Times New Roman"/>
          <w:sz w:val="20"/>
        </w:rPr>
        <w:t>, vol. 4, n. 1 e 2, 2008 (p. 145-167).</w:t>
      </w:r>
    </w:p>
    <w:p>
      <w:pPr>
        <w:pStyle w:val="Normal"/>
        <w:spacing w:before="0" w:after="120"/>
        <w:jc w:val="both"/>
        <w:rPr>
          <w:rFonts w:ascii="Times New Roman" w:hAnsi="Times New Roman"/>
          <w:sz w:val="20"/>
        </w:rPr>
      </w:pPr>
      <w:r>
        <w:rPr>
          <w:rFonts w:ascii="Times New Roman" w:hAnsi="Times New Roman"/>
          <w:sz w:val="20"/>
        </w:rPr>
        <w:t xml:space="preserve">MENDONÇA. F. Geografia socioambiental. In: MENDONÇA, F.; KOZEL, S. (Orgs.). </w:t>
      </w:r>
      <w:r>
        <w:rPr>
          <w:rFonts w:ascii="Times New Roman" w:hAnsi="Times New Roman"/>
          <w:b/>
          <w:sz w:val="20"/>
        </w:rPr>
        <w:t>Elementos de epistemologia da Geografia contemporânea</w:t>
      </w:r>
      <w:r>
        <w:rPr>
          <w:rFonts w:ascii="Times New Roman" w:hAnsi="Times New Roman"/>
          <w:sz w:val="20"/>
        </w:rPr>
        <w:t>. 1ª edição revisada. Curitiba: Editora da UFPR, 2009. (p. 121 a 144).</w:t>
      </w:r>
    </w:p>
    <w:p>
      <w:pPr>
        <w:pStyle w:val="Normal"/>
        <w:spacing w:before="0" w:after="120"/>
        <w:jc w:val="both"/>
        <w:rPr>
          <w:rFonts w:ascii="Times New Roman" w:hAnsi="Times New Roman"/>
          <w:sz w:val="20"/>
        </w:rPr>
      </w:pPr>
      <w:r>
        <w:rPr>
          <w:rFonts w:ascii="Times New Roman" w:hAnsi="Times New Roman"/>
          <w:sz w:val="20"/>
        </w:rPr>
        <w:t xml:space="preserve">MOREIRA, R. Marxismo e geografia: a geograficidade e o diálogo das ontologias. In: </w:t>
      </w:r>
      <w:r>
        <w:rPr>
          <w:rFonts w:ascii="Times New Roman" w:hAnsi="Times New Roman"/>
          <w:b/>
          <w:sz w:val="20"/>
        </w:rPr>
        <w:t xml:space="preserve">Geographie. </w:t>
      </w:r>
      <w:r>
        <w:rPr>
          <w:rFonts w:ascii="Times New Roman" w:hAnsi="Times New Roman"/>
          <w:sz w:val="20"/>
        </w:rPr>
        <w:t>Ano 6. Nº 11, 2004. (p. 21 a 37).</w:t>
      </w:r>
    </w:p>
    <w:p>
      <w:pPr>
        <w:pStyle w:val="Normal"/>
        <w:spacing w:before="0" w:after="120"/>
        <w:jc w:val="both"/>
        <w:rPr>
          <w:rFonts w:ascii="Times New Roman" w:hAnsi="Times New Roman"/>
          <w:sz w:val="20"/>
        </w:rPr>
      </w:pPr>
      <w:r>
        <w:rPr>
          <w:rFonts w:ascii="Times New Roman" w:hAnsi="Times New Roman"/>
          <w:sz w:val="20"/>
        </w:rPr>
        <w:t xml:space="preserve">______. </w:t>
      </w:r>
      <w:r>
        <w:rPr>
          <w:rFonts w:ascii="Times New Roman" w:hAnsi="Times New Roman"/>
          <w:b/>
          <w:sz w:val="20"/>
        </w:rPr>
        <w:t xml:space="preserve">Para onde vai o pensamento geográfico? </w:t>
      </w:r>
      <w:r>
        <w:rPr>
          <w:rFonts w:ascii="Times New Roman" w:hAnsi="Times New Roman"/>
          <w:sz w:val="20"/>
        </w:rPr>
        <w:t>Por uma epistemologia crítica. São Paulo: Contexto, 2006.</w:t>
      </w:r>
    </w:p>
    <w:p>
      <w:pPr>
        <w:pStyle w:val="Normal"/>
        <w:spacing w:before="0" w:after="120"/>
        <w:jc w:val="both"/>
        <w:rPr>
          <w:rFonts w:ascii="Times New Roman" w:hAnsi="Times New Roman"/>
          <w:sz w:val="20"/>
        </w:rPr>
      </w:pPr>
      <w:r>
        <w:rPr>
          <w:rFonts w:ascii="Times New Roman" w:hAnsi="Times New Roman"/>
          <w:sz w:val="20"/>
        </w:rPr>
        <w:t xml:space="preserve">PORTO GONÇALVES, C. W. </w:t>
      </w:r>
      <w:r>
        <w:rPr>
          <w:rFonts w:ascii="Times New Roman" w:hAnsi="Times New Roman"/>
          <w:b/>
          <w:sz w:val="20"/>
        </w:rPr>
        <w:t>A globalização da natureza e a natureza da globalização</w:t>
      </w:r>
      <w:r>
        <w:rPr>
          <w:rFonts w:ascii="Times New Roman" w:hAnsi="Times New Roman"/>
          <w:sz w:val="20"/>
        </w:rPr>
        <w:t>. 5ª edição. Rio de Janeiro: Civilização brasileira, 2013.</w:t>
      </w:r>
    </w:p>
    <w:p>
      <w:pPr>
        <w:pStyle w:val="Normal"/>
        <w:spacing w:before="0" w:after="120"/>
        <w:jc w:val="both"/>
        <w:rPr>
          <w:rFonts w:ascii="Times New Roman" w:hAnsi="Times New Roman"/>
          <w:sz w:val="20"/>
        </w:rPr>
      </w:pPr>
      <w:r>
        <w:rPr>
          <w:rFonts w:ascii="Times New Roman" w:hAnsi="Times New Roman"/>
          <w:sz w:val="20"/>
        </w:rPr>
        <w:t xml:space="preserve">RODRIGUES, A. M. A matriz discursiva sobre “meio ambiente”: produção do espaço urbano – agentes, escalas, conflitos. In: CARLOS, A. F. A; SOUZA, M. L. de; SPOSITO, M. E. B. (Orgs.). </w:t>
      </w:r>
      <w:r>
        <w:rPr>
          <w:rFonts w:ascii="Times New Roman" w:hAnsi="Times New Roman"/>
          <w:b/>
          <w:sz w:val="20"/>
        </w:rPr>
        <w:t>A produção do espaço urbano:</w:t>
      </w:r>
      <w:r>
        <w:rPr>
          <w:rFonts w:ascii="Times New Roman" w:hAnsi="Times New Roman"/>
          <w:sz w:val="20"/>
        </w:rPr>
        <w:t xml:space="preserve"> agentes e processos, escalas e desafios. São Paulo: Ed. Contexto, 2011. (p. 207 a 230).</w:t>
      </w:r>
    </w:p>
    <w:p>
      <w:pPr>
        <w:pStyle w:val="Normal"/>
        <w:spacing w:before="0" w:after="120"/>
        <w:jc w:val="both"/>
        <w:rPr>
          <w:rFonts w:ascii="Times New Roman" w:hAnsi="Times New Roman" w:eastAsia="Calibri"/>
          <w:sz w:val="20"/>
        </w:rPr>
      </w:pPr>
      <w:r>
        <w:rPr>
          <w:rFonts w:eastAsia="Calibri" w:ascii="Times New Roman" w:hAnsi="Times New Roman"/>
          <w:sz w:val="20"/>
        </w:rPr>
        <w:t xml:space="preserve">RODRIGUEZ, J. M. M.; SILVA, E. V. </w:t>
      </w:r>
      <w:r>
        <w:rPr>
          <w:rFonts w:eastAsia="Calibri" w:ascii="Times New Roman" w:hAnsi="Times New Roman"/>
          <w:b/>
          <w:sz w:val="20"/>
        </w:rPr>
        <w:t>Educação ambiental e desenvolvimento sustentável.</w:t>
      </w:r>
      <w:r>
        <w:rPr>
          <w:rFonts w:eastAsia="Calibri" w:ascii="Times New Roman" w:hAnsi="Times New Roman"/>
          <w:sz w:val="20"/>
        </w:rPr>
        <w:t xml:space="preserve"> 4ª edição. Reimpressão. Fortaleza: Expressão gráfica e editora, 2016.</w:t>
      </w:r>
    </w:p>
    <w:p>
      <w:pPr>
        <w:pStyle w:val="Normal"/>
        <w:spacing w:before="0" w:after="120"/>
        <w:jc w:val="both"/>
        <w:rPr>
          <w:rFonts w:ascii="Times New Roman" w:hAnsi="Times New Roman"/>
          <w:sz w:val="20"/>
        </w:rPr>
      </w:pPr>
      <w:bookmarkStart w:id="0" w:name="_GoBack"/>
      <w:bookmarkEnd w:id="0"/>
      <w:r>
        <w:rPr>
          <w:rFonts w:ascii="Times New Roman" w:hAnsi="Times New Roman"/>
          <w:sz w:val="20"/>
        </w:rPr>
        <w:t xml:space="preserve">______. </w:t>
      </w:r>
      <w:r>
        <w:rPr>
          <w:rFonts w:ascii="Times New Roman" w:hAnsi="Times New Roman"/>
          <w:b/>
          <w:sz w:val="20"/>
        </w:rPr>
        <w:t>Por uma geografia nova.</w:t>
      </w:r>
      <w:r>
        <w:rPr>
          <w:rFonts w:ascii="Times New Roman" w:hAnsi="Times New Roman"/>
          <w:sz w:val="20"/>
        </w:rPr>
        <w:t xml:space="preserve"> São Paulo: EDUSP, 2004. (Coleção Milton Santos; 2).</w:t>
      </w:r>
    </w:p>
    <w:p>
      <w:pPr>
        <w:pStyle w:val="Normal"/>
        <w:spacing w:before="0" w:after="120"/>
        <w:jc w:val="both"/>
        <w:rPr>
          <w:rFonts w:ascii="Times New Roman" w:hAnsi="Times New Roman"/>
          <w:sz w:val="20"/>
        </w:rPr>
      </w:pPr>
      <w:r>
        <w:rPr>
          <w:rFonts w:ascii="Times New Roman" w:hAnsi="Times New Roman"/>
          <w:sz w:val="20"/>
        </w:rPr>
        <w:t xml:space="preserve">SOJA, E. W. </w:t>
      </w:r>
      <w:r>
        <w:rPr>
          <w:rFonts w:ascii="Times New Roman" w:hAnsi="Times New Roman"/>
          <w:b/>
          <w:sz w:val="20"/>
        </w:rPr>
        <w:t>Geografias pós-modernas:</w:t>
      </w:r>
      <w:r>
        <w:rPr>
          <w:rFonts w:ascii="Times New Roman" w:hAnsi="Times New Roman"/>
          <w:sz w:val="20"/>
        </w:rPr>
        <w:t xml:space="preserve"> a reafirmação do espaço na teoria social crítica. Rio de Janeiro: Jorge Zahar Editor, 1993.</w:t>
      </w:r>
    </w:p>
    <w:p>
      <w:pPr>
        <w:pStyle w:val="Normal"/>
        <w:spacing w:before="0" w:after="120"/>
        <w:jc w:val="both"/>
        <w:rPr/>
      </w:pPr>
      <w:r>
        <w:rPr>
          <w:rFonts w:ascii="Times New Roman" w:hAnsi="Times New Roman"/>
          <w:sz w:val="20"/>
        </w:rPr>
        <w:t xml:space="preserve">SUERTEGARAY, D. M. A. Geografia física (?) geografia ambiental (?) ou geografia e ambiente. In: MENDONÇA, F.; KOZEL, S. (Orgs.). </w:t>
      </w:r>
      <w:r>
        <w:rPr>
          <w:rFonts w:ascii="Times New Roman" w:hAnsi="Times New Roman"/>
          <w:b/>
          <w:sz w:val="20"/>
        </w:rPr>
        <w:t>Elementos de epistemologia da Geografia contemporânea.</w:t>
      </w:r>
      <w:r>
        <w:rPr>
          <w:rFonts w:ascii="Times New Roman" w:hAnsi="Times New Roman"/>
          <w:sz w:val="20"/>
        </w:rPr>
        <w:t xml:space="preserve"> 1ª edição revisada. Curitiba: Editora da UFPR, 2009. (p. 111 a 120).</w:t>
      </w:r>
    </w:p>
    <w:sectPr>
      <w:headerReference w:type="default" r:id="rId2"/>
      <w:footnotePr>
        <w:numFmt w:val="decimal"/>
      </w:footnotePr>
      <w:type w:val="nextPage"/>
      <w:pgSz w:w="12240" w:h="15840"/>
      <w:pgMar w:left="1418" w:right="1418" w:header="709" w:top="1418" w:footer="0" w:bottom="1418" w:gutter="0"/>
      <w:pgNumType w:fmt="decimal"/>
      <w:formProt w:val="false"/>
      <w:textDirection w:val="lrTb"/>
      <w:docGrid w:type="default" w:linePitch="326"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Times">
    <w:altName w:val="Times New Roman"/>
    <w:charset w:val="00"/>
    <w:family w:val="roman"/>
    <w:pitch w:val="variable"/>
  </w:font>
  <w:font w:name="Arial Unicode MS">
    <w:charset w:val="00"/>
    <w:family w:val="roman"/>
    <w:pitch w:val="variable"/>
  </w:font>
  <w:font w:name="Arial">
    <w:charset w:val="00"/>
    <w:family w:val="roman"/>
    <w:pitch w:val="variable"/>
  </w:font>
  <w:font w:name="Calibri">
    <w:charset w:val="00"/>
    <w:family w:val="roman"/>
    <w:pitch w:val="variable"/>
  </w:font>
  <w:font w:name="Tahoma">
    <w:charset w:val="00"/>
    <w:family w:val="roman"/>
    <w:pitch w:val="variable"/>
  </w:font>
  <w:font w:name="Liberation Sans">
    <w:altName w:val="Arial"/>
    <w:charset w:val="00"/>
    <w:family w:val="swiss"/>
    <w:pitch w:val="variable"/>
  </w:font>
</w:fonts>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footnote w:id="0" w:type="separator">
    <w:p>
      <w:r>
        <w:separator/>
      </w:r>
    </w:p>
  </w:footnote>
  <w:footnote w:id="1" w:type="continuationSeparator">
    <w:p>
      <w:r>
        <w:continuationSeparator/>
      </w:r>
    </w:p>
  </w:footnote>
  <w:footnote w:id="2">
    <w:p>
      <w:pPr>
        <w:pStyle w:val="Footnotetext"/>
        <w:jc w:val="both"/>
        <w:rPr/>
      </w:pPr>
      <w:r>
        <w:rPr>
          <w:rStyle w:val="Footnotereference"/>
          <w:rFonts w:ascii="Times New Roman" w:hAnsi="Times New Roman"/>
        </w:rPr>
        <w:footnoteRef/>
        <w:tab/>
      </w:r>
      <w:r>
        <w:rPr>
          <w:rFonts w:ascii="Times New Roman" w:hAnsi="Times New Roman"/>
        </w:rPr>
        <w:t xml:space="preserve"> </w:t>
      </w:r>
      <w:r>
        <w:rPr>
          <w:rFonts w:ascii="Times New Roman" w:hAnsi="Times New Roman"/>
        </w:rPr>
        <w:t>A autora diferencia coisas de objetos, tratando o primeiro como elementos da natureza e o segundo como aqueles elementos produzidos pelos homens.</w:t>
      </w:r>
    </w:p>
  </w:footnote>
</w:footnote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alho"/>
      <w:jc w:val="center"/>
      <w:rPr>
        <w:rFonts w:ascii="Arial" w:hAnsi="Arial" w:cs="Arial"/>
        <w:i/>
        <w:i/>
        <w:color w:val="262626"/>
        <w:sz w:val="16"/>
        <w:szCs w:val="16"/>
      </w:rPr>
    </w:pPr>
    <w:r>
      <w:rPr/>
      <w:drawing>
        <wp:inline distT="0" distB="0" distL="19050" distR="0">
          <wp:extent cx="5760720" cy="646430"/>
          <wp:effectExtent l="0" t="0" r="0" b="0"/>
          <wp:docPr id="1" name="Imagem 1" descr="CABEÇALHO-fi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CABEÇALHO-final"/>
                  <pic:cNvPicPr>
                    <a:picLocks noChangeAspect="1" noChangeArrowheads="1"/>
                  </pic:cNvPicPr>
                </pic:nvPicPr>
                <pic:blipFill>
                  <a:blip r:embed="rId1"/>
                  <a:stretch>
                    <a:fillRect/>
                  </a:stretch>
                </pic:blipFill>
                <pic:spPr bwMode="auto">
                  <a:xfrm>
                    <a:off x="0" y="0"/>
                    <a:ext cx="5760720" cy="646430"/>
                  </a:xfrm>
                  <a:prstGeom prst="rect">
                    <a:avLst/>
                  </a:prstGeom>
                </pic:spPr>
              </pic:pic>
            </a:graphicData>
          </a:graphic>
        </wp:inline>
      </w:drawing>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3"/>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bering>
</file>

<file path=word/settings.xml><?xml version="1.0" encoding="utf-8"?>
<w:settings xmlns:w="http://schemas.openxmlformats.org/wordprocessingml/2006/main">
  <w:zoom w:percent="100"/>
  <w:embedSystemFonts/>
  <w:defaultTabStop w:val="720"/>
  <w:footnotePr>
    <w:numFmt w:val="decimal"/>
    <w:footnote w:id="0"/>
    <w:footnote w:id="1"/>
  </w:foot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w:hAnsi="Times" w:eastAsia="Times" w:cs="Times New Roman"/>
        <w:lang w:val="pt-BR" w:eastAsia="pt-BR" w:bidi="ar-SA"/>
      </w:rPr>
    </w:rPrDefault>
    <w:pPrDefault>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semiHidden="1" w:unhideWhenUsed="1" w:qFormat="1"/>
    <w:lsdException w:name="heading 4" w:uiPriority="9"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rsid w:val="005d01d7"/>
    <w:pPr>
      <w:widowControl/>
      <w:bidi w:val="0"/>
      <w:jc w:val="left"/>
    </w:pPr>
    <w:rPr>
      <w:rFonts w:ascii="Times" w:hAnsi="Times" w:eastAsia="Times" w:cs="Times New Roman"/>
      <w:color w:val="auto"/>
      <w:sz w:val="24"/>
      <w:szCs w:val="20"/>
      <w:lang w:val="en-US" w:eastAsia="en-US" w:bidi="ar-SA"/>
    </w:rPr>
  </w:style>
  <w:style w:type="paragraph" w:styleId="Ttulo1">
    <w:name w:val="Heading 1"/>
    <w:basedOn w:val="Normal"/>
    <w:qFormat/>
    <w:rsid w:val="00a05b11"/>
    <w:pPr>
      <w:spacing w:beforeAutospacing="1" w:afterAutospacing="1"/>
      <w:outlineLvl w:val="0"/>
    </w:pPr>
    <w:rPr>
      <w:rFonts w:ascii="Arial Unicode MS" w:hAnsi="Arial Unicode MS" w:eastAsia="Arial Unicode MS"/>
      <w:b/>
      <w:sz w:val="48"/>
    </w:rPr>
  </w:style>
  <w:style w:type="paragraph" w:styleId="Ttulo2">
    <w:name w:val="Heading 2"/>
    <w:basedOn w:val="Normal"/>
    <w:next w:val="Normal"/>
    <w:qFormat/>
    <w:rsid w:val="00a05b11"/>
    <w:pPr>
      <w:keepNext/>
      <w:widowControl w:val="false"/>
      <w:outlineLvl w:val="1"/>
    </w:pPr>
    <w:rPr>
      <w:rFonts w:ascii="Arial" w:hAnsi="Arial" w:eastAsia="Times New Roman"/>
      <w:b/>
    </w:rPr>
  </w:style>
  <w:style w:type="paragraph" w:styleId="Ttulo4">
    <w:name w:val="Heading 4"/>
    <w:basedOn w:val="Normal"/>
    <w:next w:val="Normal"/>
    <w:link w:val="Ttulo4Char"/>
    <w:uiPriority w:val="9"/>
    <w:qFormat/>
    <w:rsid w:val="00c0731d"/>
    <w:pPr>
      <w:keepNext/>
      <w:spacing w:before="240" w:after="60"/>
      <w:outlineLvl w:val="3"/>
    </w:pPr>
    <w:rPr>
      <w:rFonts w:ascii="Calibri" w:hAnsi="Calibri" w:eastAsia="PMingLiU"/>
      <w:b/>
      <w:bCs/>
      <w:sz w:val="28"/>
      <w:szCs w:val="28"/>
    </w:rPr>
  </w:style>
  <w:style w:type="character" w:styleId="DefaultParagraphFont" w:default="1">
    <w:name w:val="Default Paragraph Font"/>
    <w:uiPriority w:val="1"/>
    <w:semiHidden/>
    <w:unhideWhenUsed/>
    <w:qFormat/>
    <w:rPr/>
  </w:style>
  <w:style w:type="character" w:styleId="Pagenumber">
    <w:name w:val="page number"/>
    <w:basedOn w:val="DefaultParagraphFont"/>
    <w:qFormat/>
    <w:rsid w:val="00a05b11"/>
    <w:rPr/>
  </w:style>
  <w:style w:type="character" w:styleId="LinkdaInternet">
    <w:name w:val="Link da Internet"/>
    <w:rsid w:val="004e0757"/>
    <w:rPr>
      <w:color w:val="0000FF"/>
      <w:u w:val="single"/>
    </w:rPr>
  </w:style>
  <w:style w:type="character" w:styleId="Ttulo4Char" w:customStyle="1">
    <w:name w:val="Título 4 Char"/>
    <w:link w:val="Ttulo4"/>
    <w:uiPriority w:val="9"/>
    <w:semiHidden/>
    <w:qFormat/>
    <w:rsid w:val="00c0731d"/>
    <w:rPr>
      <w:rFonts w:ascii="Calibri" w:hAnsi="Calibri" w:eastAsia="PMingLiU" w:cs="Times New Roman"/>
      <w:b/>
      <w:bCs/>
      <w:sz w:val="28"/>
      <w:szCs w:val="28"/>
      <w:lang w:val="en-US" w:eastAsia="en-US"/>
    </w:rPr>
  </w:style>
  <w:style w:type="character" w:styleId="Textexposedshow" w:customStyle="1">
    <w:name w:val="text_exposed_show"/>
    <w:qFormat/>
    <w:rsid w:val="00f91c78"/>
    <w:rPr>
      <w:rFonts w:ascii="Tahoma" w:hAnsi="Tahoma" w:cs="Tahoma"/>
      <w:sz w:val="18"/>
      <w:szCs w:val="18"/>
    </w:rPr>
  </w:style>
  <w:style w:type="character" w:styleId="Appleconvertedspace" w:customStyle="1">
    <w:name w:val="apple-converted-space"/>
    <w:qFormat/>
    <w:rsid w:val="00f91c78"/>
    <w:rPr>
      <w:rFonts w:ascii="Tahoma" w:hAnsi="Tahoma" w:cs="Tahoma"/>
      <w:sz w:val="18"/>
      <w:szCs w:val="18"/>
    </w:rPr>
  </w:style>
  <w:style w:type="character" w:styleId="TextodebaloChar" w:customStyle="1">
    <w:name w:val="Texto de balão Char"/>
    <w:link w:val="Textodebalo"/>
    <w:uiPriority w:val="99"/>
    <w:semiHidden/>
    <w:qFormat/>
    <w:rsid w:val="0077350b"/>
    <w:rPr>
      <w:rFonts w:ascii="Tahoma" w:hAnsi="Tahoma" w:cs="Tahoma"/>
      <w:sz w:val="16"/>
      <w:szCs w:val="16"/>
      <w:lang w:val="en-US" w:eastAsia="en-US"/>
    </w:rPr>
  </w:style>
  <w:style w:type="character" w:styleId="Annotationreference">
    <w:name w:val="annotation reference"/>
    <w:uiPriority w:val="99"/>
    <w:semiHidden/>
    <w:unhideWhenUsed/>
    <w:qFormat/>
    <w:rsid w:val="004f689a"/>
    <w:rPr>
      <w:sz w:val="16"/>
      <w:szCs w:val="16"/>
    </w:rPr>
  </w:style>
  <w:style w:type="character" w:styleId="TextodecomentrioChar" w:customStyle="1">
    <w:name w:val="Texto de comentário Char"/>
    <w:link w:val="Textodecomentrio"/>
    <w:uiPriority w:val="99"/>
    <w:semiHidden/>
    <w:qFormat/>
    <w:rsid w:val="004f689a"/>
    <w:rPr>
      <w:lang w:val="en-US" w:eastAsia="en-US"/>
    </w:rPr>
  </w:style>
  <w:style w:type="character" w:styleId="AssuntodocomentrioChar" w:customStyle="1">
    <w:name w:val="Assunto do comentário Char"/>
    <w:link w:val="Assuntodocomentrio"/>
    <w:uiPriority w:val="99"/>
    <w:semiHidden/>
    <w:qFormat/>
    <w:rsid w:val="004f689a"/>
    <w:rPr>
      <w:b/>
      <w:bCs/>
      <w:lang w:val="en-US" w:eastAsia="en-US"/>
    </w:rPr>
  </w:style>
  <w:style w:type="character" w:styleId="TextodenotaderodapChar" w:customStyle="1">
    <w:name w:val="Texto de nota de rodapé Char"/>
    <w:link w:val="Textodenotaderodap"/>
    <w:uiPriority w:val="99"/>
    <w:semiHidden/>
    <w:qFormat/>
    <w:rsid w:val="00d952e3"/>
    <w:rPr>
      <w:rFonts w:ascii="Calibri" w:hAnsi="Calibri" w:eastAsia="Times New Roman"/>
    </w:rPr>
  </w:style>
  <w:style w:type="character" w:styleId="Footnotereference">
    <w:name w:val="footnote reference"/>
    <w:uiPriority w:val="99"/>
    <w:semiHidden/>
    <w:unhideWhenUsed/>
    <w:qFormat/>
    <w:rsid w:val="00d952e3"/>
    <w:rPr>
      <w:vertAlign w:val="superscript"/>
    </w:rPr>
  </w:style>
  <w:style w:type="character" w:styleId="ListLabel1">
    <w:name w:val="ListLabel 1"/>
    <w:qFormat/>
    <w:rPr>
      <w:b/>
    </w:rPr>
  </w:style>
  <w:style w:type="character" w:styleId="ListLabel2">
    <w:name w:val="ListLabel 2"/>
    <w:qFormat/>
    <w:rPr>
      <w:b/>
    </w:rPr>
  </w:style>
  <w:style w:type="character" w:styleId="ListLabel3">
    <w:name w:val="ListLabel 3"/>
    <w:qFormat/>
    <w:rPr>
      <w:rFonts w:cs="Times New Roman"/>
      <w:b/>
      <w:i w:val="false"/>
      <w:sz w:val="24"/>
      <w:szCs w:val="24"/>
    </w:rPr>
  </w:style>
  <w:style w:type="character" w:styleId="Caracteresdenotaderodap">
    <w:name w:val="Caracteres de nota de rodapé"/>
    <w:qFormat/>
    <w:rPr/>
  </w:style>
  <w:style w:type="character" w:styleId="Ncoradanotaderodap">
    <w:name w:val="Âncora da nota de rodapé"/>
    <w:rPr>
      <w:vertAlign w:val="superscript"/>
    </w:rPr>
  </w:style>
  <w:style w:type="character" w:styleId="Ncoradanotadefim">
    <w:name w:val="Âncora da nota de fim"/>
    <w:rPr>
      <w:vertAlign w:val="superscript"/>
    </w:rPr>
  </w:style>
  <w:style w:type="character" w:styleId="Caracteresdenotadefim">
    <w:name w:val="Caracteres de nota de fim"/>
    <w:qFormat/>
    <w:rPr/>
  </w:style>
  <w:style w:type="paragraph" w:styleId="Ttulo">
    <w:name w:val="Título"/>
    <w:basedOn w:val="Normal"/>
    <w:next w:val="Corpodetexto"/>
    <w:qFormat/>
    <w:pPr>
      <w:keepNext/>
      <w:spacing w:before="240" w:after="120"/>
    </w:pPr>
    <w:rPr>
      <w:rFonts w:ascii="Liberation Sans" w:hAnsi="Liberation Sans" w:eastAsia="Microsoft YaHei" w:cs="Arial"/>
      <w:sz w:val="28"/>
      <w:szCs w:val="28"/>
    </w:rPr>
  </w:style>
  <w:style w:type="paragraph" w:styleId="Corpodetexto">
    <w:name w:val="Body Text"/>
    <w:basedOn w:val="Normal"/>
    <w:rsid w:val="00a05b11"/>
    <w:pPr/>
    <w:rPr>
      <w:rFonts w:ascii="Times New Roman" w:hAnsi="Times New Roman"/>
      <w:color w:val="000000"/>
      <w:sz w:val="32"/>
    </w:rPr>
  </w:style>
  <w:style w:type="paragraph" w:styleId="Lista">
    <w:name w:val="List"/>
    <w:basedOn w:val="Corpodetexto"/>
    <w:pPr/>
    <w:rPr>
      <w:rFonts w:cs="Arial"/>
    </w:rPr>
  </w:style>
  <w:style w:type="paragraph" w:styleId="Legenda">
    <w:name w:val="Caption"/>
    <w:basedOn w:val="Normal"/>
    <w:qFormat/>
    <w:pPr>
      <w:suppressLineNumbers/>
      <w:spacing w:before="120" w:after="120"/>
    </w:pPr>
    <w:rPr>
      <w:rFonts w:cs="Arial"/>
      <w:i/>
      <w:iCs/>
      <w:sz w:val="24"/>
      <w:szCs w:val="24"/>
    </w:rPr>
  </w:style>
  <w:style w:type="paragraph" w:styleId="Ndice">
    <w:name w:val="Índice"/>
    <w:basedOn w:val="Normal"/>
    <w:qFormat/>
    <w:pPr>
      <w:suppressLineNumbers/>
    </w:pPr>
    <w:rPr>
      <w:rFonts w:cs="Arial"/>
    </w:rPr>
  </w:style>
  <w:style w:type="paragraph" w:styleId="BodyText2">
    <w:name w:val="Body Text 2"/>
    <w:basedOn w:val="Normal"/>
    <w:qFormat/>
    <w:rsid w:val="00a05b11"/>
    <w:pPr/>
    <w:rPr>
      <w:rFonts w:ascii="Times New Roman" w:hAnsi="Times New Roman"/>
      <w:b/>
      <w:sz w:val="28"/>
    </w:rPr>
  </w:style>
  <w:style w:type="paragraph" w:styleId="Cabealho">
    <w:name w:val="Header"/>
    <w:basedOn w:val="Normal"/>
    <w:rsid w:val="00a05b11"/>
    <w:pPr>
      <w:tabs>
        <w:tab w:val="center" w:pos="4320" w:leader="none"/>
        <w:tab w:val="right" w:pos="8640" w:leader="none"/>
      </w:tabs>
    </w:pPr>
    <w:rPr/>
  </w:style>
  <w:style w:type="paragraph" w:styleId="Rodap">
    <w:name w:val="Footer"/>
    <w:basedOn w:val="Normal"/>
    <w:rsid w:val="00a05b11"/>
    <w:pPr>
      <w:tabs>
        <w:tab w:val="center" w:pos="4320" w:leader="none"/>
        <w:tab w:val="right" w:pos="8640" w:leader="none"/>
      </w:tabs>
    </w:pPr>
    <w:rPr/>
  </w:style>
  <w:style w:type="paragraph" w:styleId="BodyText3">
    <w:name w:val="Body Text 3"/>
    <w:basedOn w:val="Normal"/>
    <w:qFormat/>
    <w:rsid w:val="00a05b11"/>
    <w:pPr>
      <w:tabs>
        <w:tab w:val="left" w:pos="360" w:leader="none"/>
      </w:tabs>
      <w:jc w:val="both"/>
    </w:pPr>
    <w:rPr>
      <w:rFonts w:ascii="Times New Roman" w:hAnsi="Times New Roman"/>
      <w:lang w:eastAsia="zh-TW"/>
    </w:rPr>
  </w:style>
  <w:style w:type="paragraph" w:styleId="Corpodetextorecuado">
    <w:name w:val="Body Text Indent"/>
    <w:basedOn w:val="Normal"/>
    <w:rsid w:val="00a05b11"/>
    <w:pPr>
      <w:ind w:firstLine="720"/>
    </w:pPr>
    <w:rPr/>
  </w:style>
  <w:style w:type="paragraph" w:styleId="Default" w:customStyle="1">
    <w:name w:val="Default"/>
    <w:qFormat/>
    <w:rsid w:val="00bd6947"/>
    <w:pPr>
      <w:widowControl/>
      <w:bidi w:val="0"/>
      <w:jc w:val="left"/>
    </w:pPr>
    <w:rPr>
      <w:rFonts w:ascii="Arial" w:hAnsi="Arial" w:eastAsia="Times New Roman" w:cs="Arial"/>
      <w:color w:val="000000"/>
      <w:sz w:val="24"/>
      <w:szCs w:val="24"/>
      <w:lang w:val="pt-PT" w:eastAsia="pt-PT" w:bidi="ar-SA"/>
    </w:rPr>
  </w:style>
  <w:style w:type="paragraph" w:styleId="BalloonText">
    <w:name w:val="Balloon Text"/>
    <w:basedOn w:val="Normal"/>
    <w:link w:val="TextodebaloChar"/>
    <w:uiPriority w:val="99"/>
    <w:semiHidden/>
    <w:unhideWhenUsed/>
    <w:qFormat/>
    <w:rsid w:val="0077350b"/>
    <w:pPr/>
    <w:rPr>
      <w:rFonts w:ascii="Tahoma" w:hAnsi="Tahoma"/>
      <w:sz w:val="16"/>
      <w:szCs w:val="16"/>
    </w:rPr>
  </w:style>
  <w:style w:type="paragraph" w:styleId="Annotationtext">
    <w:name w:val="annotation text"/>
    <w:basedOn w:val="Normal"/>
    <w:link w:val="TextodecomentrioChar"/>
    <w:uiPriority w:val="99"/>
    <w:semiHidden/>
    <w:unhideWhenUsed/>
    <w:qFormat/>
    <w:rsid w:val="004f689a"/>
    <w:pPr/>
    <w:rPr>
      <w:sz w:val="20"/>
    </w:rPr>
  </w:style>
  <w:style w:type="paragraph" w:styleId="Annotationsubject">
    <w:name w:val="annotation subject"/>
    <w:basedOn w:val="Annotationtext"/>
    <w:link w:val="AssuntodocomentrioChar"/>
    <w:uiPriority w:val="99"/>
    <w:semiHidden/>
    <w:unhideWhenUsed/>
    <w:qFormat/>
    <w:rsid w:val="004f689a"/>
    <w:pPr/>
    <w:rPr>
      <w:b/>
      <w:bCs/>
    </w:rPr>
  </w:style>
  <w:style w:type="paragraph" w:styleId="Footnotetext">
    <w:name w:val="footnote text"/>
    <w:basedOn w:val="Normal"/>
    <w:link w:val="TextodenotaderodapChar"/>
    <w:uiPriority w:val="99"/>
    <w:semiHidden/>
    <w:unhideWhenUsed/>
    <w:qFormat/>
    <w:rsid w:val="00d952e3"/>
    <w:pPr/>
    <w:rPr>
      <w:rFonts w:ascii="Calibri" w:hAnsi="Calibri" w:eastAsia="Times New Roman"/>
      <w:sz w:val="20"/>
      <w:lang w:val="pt-BR" w:eastAsia="pt-BR"/>
    </w:rPr>
  </w:style>
  <w:style w:type="paragraph" w:styleId="ListParagraph">
    <w:name w:val="List Paragraph"/>
    <w:basedOn w:val="Normal"/>
    <w:uiPriority w:val="34"/>
    <w:qFormat/>
    <w:rsid w:val="00d952e3"/>
    <w:pPr>
      <w:spacing w:lineRule="auto" w:line="276" w:before="0" w:after="200"/>
      <w:ind w:left="720" w:hanging="0"/>
      <w:contextualSpacing/>
    </w:pPr>
    <w:rPr>
      <w:rFonts w:ascii="Calibri" w:hAnsi="Calibri" w:eastAsia="Times New Roman"/>
      <w:sz w:val="22"/>
      <w:szCs w:val="22"/>
      <w:lang w:val="pt-BR" w:eastAsia="pt-BR"/>
    </w:rPr>
  </w:style>
  <w:style w:type="paragraph" w:styleId="Notaderodap">
    <w:name w:val="Footnote Text"/>
    <w:basedOn w:val="Normal"/>
    <w:pPr/>
    <w:rPr/>
  </w:style>
  <w:style w:type="numbering" w:styleId="NoList" w:default="1">
    <w:name w:val="No List"/>
    <w:uiPriority w:val="99"/>
    <w:semiHidden/>
    <w:unhideWhenUsed/>
    <w:qFormat/>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table" w:styleId="Tabelacomgrade">
    <w:name w:val="Table Grid"/>
    <w:basedOn w:val="Tabelanormal"/>
    <w:uiPriority w:val="59"/>
    <w:rsid w:val="005d01d7"/>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notes" Target="footnotes.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Relationship Id="rId8" Type="http://schemas.openxmlformats.org/officeDocument/2006/relationships/customXml" Target="../customXml/item1.xml"/>
</Relationships>
</file>

<file path=word/_rels/header1.xml.rels><?xml version="1.0" encoding="UTF-8"?>
<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390344-0306-4B58-B2FD-1459A6B438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Application>LibreOffice/5.2.5.1$Windows_X86_64 LibreOffice_project/0312e1a284a7d50ca85a365c316c7abbf20a4d22</Application>
  <Pages>12</Pages>
  <Words>4395</Words>
  <Characters>25349</Characters>
  <CharactersWithSpaces>29687</CharactersWithSpaces>
  <Paragraphs>78</Paragraphs>
  <Company>Biotech Research Institute, NRC</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2017-08-15T22:06:00Z</dcterms:created>
  <dc:creator>Serge Guiot</dc:creator>
  <dc:description/>
  <dc:language>pt-BR</dc:language>
  <cp:lastModifiedBy/>
  <cp:lastPrinted>2013-02-14T13:58:00Z</cp:lastPrinted>
  <dcterms:modified xsi:type="dcterms:W3CDTF">2017-08-16T15:22:48Z</dcterms:modified>
  <cp:revision>6</cp:revision>
  <dc:subject/>
  <dc:title>SUBMISSION OF PAPERS/POSTERS</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Biotech Research Institute, NRC</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