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8.jpeg" ContentType="image/jpeg"/>
  <Override PartName="/word/media/image6.png" ContentType="image/png"/>
  <Override PartName="/word/media/image7.png" ContentType="image/png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GFTtulo"/>
        <w:spacing w:before="480" w:after="280"/>
        <w:jc w:val="center"/>
        <w:rPr>
          <w:b/>
          <w:b/>
          <w:bCs/>
        </w:rPr>
      </w:pPr>
      <w:r>
        <w:rPr>
          <w:b/>
          <w:bCs/>
        </w:rPr>
        <w:t>UTILIZAÇÃO DO SENSORIAMENTO REMOTO NA AVALIAÇÃO DO ANTROPISMO NO PARQUE NACIONAL DA SERRA DA CANASTRA-MG</w:t>
      </w:r>
    </w:p>
    <w:p>
      <w:pPr>
        <w:pStyle w:val="Normal1"/>
        <w:spacing w:lineRule="auto" w:line="240" w:before="240" w:after="240"/>
        <w:jc w:val="center"/>
        <w:rPr>
          <w:rFonts w:cs="Times New Roman"/>
        </w:rPr>
      </w:pPr>
      <w:r>
        <w:rPr>
          <w:rFonts w:cs="Times New Roman"/>
        </w:rPr>
        <w:t>Lorrany Horacio Penoni</w:t>
      </w:r>
      <w:r>
        <w:rPr>
          <w:rFonts w:cs="Times New Roman"/>
          <w:vertAlign w:val="superscript"/>
        </w:rPr>
        <w:t>(a)</w:t>
      </w:r>
      <w:r>
        <w:rPr>
          <w:rFonts w:cs="Times New Roman"/>
        </w:rPr>
        <w:t>, Frederico Pahlm Ribeiro Gonçalves</w:t>
      </w:r>
      <w:r>
        <w:rPr>
          <w:rFonts w:cs="Times New Roman"/>
          <w:vertAlign w:val="superscript"/>
        </w:rPr>
        <w:t>(b)</w:t>
      </w:r>
      <w:r>
        <w:rPr>
          <w:rFonts w:cs="Times New Roman"/>
        </w:rPr>
        <w:t>, Jairo Rodrigues Silva</w:t>
      </w:r>
      <w:r>
        <w:rPr>
          <w:rFonts w:cs="Times New Roman"/>
          <w:vertAlign w:val="superscript"/>
        </w:rPr>
        <w:t>(c)</w:t>
      </w:r>
      <w:r>
        <w:rPr>
          <w:rFonts w:cs="Times New Roman"/>
        </w:rPr>
        <w:t>, Cecília Félix Andrade Silva</w:t>
      </w:r>
      <w:r>
        <w:rPr>
          <w:rFonts w:cs="Times New Roman"/>
          <w:vertAlign w:val="superscript"/>
        </w:rPr>
        <w:t>(d)</w:t>
      </w:r>
      <w:r>
        <w:rPr>
          <w:rFonts w:cs="Times New Roman"/>
        </w:rPr>
        <w:t>, Filipe Machado Fra</w:t>
      </w:r>
      <w:bookmarkStart w:id="0" w:name="_GoBack"/>
      <w:bookmarkEnd w:id="0"/>
      <w:r>
        <w:rPr>
          <w:rFonts w:cs="Times New Roman"/>
        </w:rPr>
        <w:t>nça</w:t>
      </w:r>
      <w:r>
        <w:rPr>
          <w:rFonts w:cs="Times New Roman"/>
          <w:vertAlign w:val="superscript"/>
        </w:rPr>
        <w:t>(e)</w:t>
      </w:r>
      <w:r>
        <w:rPr>
          <w:rFonts w:cs="Times New Roman"/>
        </w:rPr>
        <w:t>, Ricardo Souza Cavalcanti</w:t>
      </w:r>
      <w:r>
        <w:rPr>
          <w:rFonts w:cs="Times New Roman"/>
          <w:vertAlign w:val="superscript"/>
        </w:rPr>
        <w:t>(f)</w:t>
      </w:r>
    </w:p>
    <w:p>
      <w:pPr>
        <w:pStyle w:val="GFDepatamentos"/>
        <w:rPr>
          <w:rFonts w:cs="Times New Roman"/>
          <w:highlight w:val="white"/>
        </w:rPr>
      </w:pPr>
      <w:r>
        <w:rPr>
          <w:rFonts w:cs="Times New Roman"/>
          <w:vertAlign w:val="superscript"/>
        </w:rPr>
        <w:t>(a)</w:t>
      </w:r>
      <w:r>
        <w:rPr>
          <w:rFonts w:cs="Times New Roman"/>
        </w:rPr>
        <w:t xml:space="preserve"> Mestrando em Sustentabilidade e Tecnologia Ambiental – IFMG Bambuí, </w:t>
      </w:r>
      <w:r>
        <w:rPr>
          <w:rFonts w:cs="Times New Roman"/>
          <w:shd w:fill="FFFFFF" w:val="clear"/>
        </w:rPr>
        <w:t>lopenoni@hotmail.com</w:t>
      </w:r>
    </w:p>
    <w:p>
      <w:pPr>
        <w:pStyle w:val="GFDepatamentos"/>
        <w:rPr>
          <w:rFonts w:cs="Times New Roman"/>
          <w:highlight w:val="white"/>
        </w:rPr>
      </w:pPr>
      <w:r>
        <w:rPr>
          <w:rFonts w:cs="Times New Roman"/>
          <w:vertAlign w:val="superscript"/>
        </w:rPr>
        <w:t>(b)</w:t>
      </w:r>
      <w:r>
        <w:rPr>
          <w:rFonts w:cs="Times New Roman"/>
        </w:rPr>
        <w:t xml:space="preserve"> Mestrando em Sustentabilidade e Tecnologia Ambiental – IFMG Bambuí, </w:t>
      </w:r>
      <w:r>
        <w:rPr>
          <w:rFonts w:cs="Times New Roman"/>
          <w:shd w:fill="FFFFFF" w:val="clear"/>
        </w:rPr>
        <w:t>fredericopahlm@gmail.com</w:t>
      </w:r>
    </w:p>
    <w:p>
      <w:pPr>
        <w:pStyle w:val="GFDepatamentos"/>
        <w:rPr>
          <w:rFonts w:cs="Times New Roman"/>
        </w:rPr>
      </w:pPr>
      <w:r>
        <w:rPr>
          <w:rFonts w:cs="Times New Roman"/>
          <w:vertAlign w:val="superscript"/>
        </w:rPr>
        <w:t>(c)</w:t>
      </w:r>
      <w:r>
        <w:rPr>
          <w:rFonts w:cs="Times New Roman"/>
        </w:rPr>
        <w:t xml:space="preserve"> Professor Doutor do Mestrado em Sustentabilidade e Tecnologia Ambiental – IFMG Bambuí, jairo.rodrigues@ifmg.edu.br</w:t>
      </w:r>
    </w:p>
    <w:p>
      <w:pPr>
        <w:pStyle w:val="GFDepatamentos"/>
        <w:rPr>
          <w:rFonts w:cs="Times New Roman"/>
        </w:rPr>
      </w:pPr>
      <w:r>
        <w:rPr>
          <w:rFonts w:cs="Times New Roman"/>
          <w:vertAlign w:val="superscript"/>
        </w:rPr>
        <w:t xml:space="preserve">(d) </w:t>
      </w:r>
      <w:r>
        <w:rPr>
          <w:rFonts w:cs="Times New Roman"/>
        </w:rPr>
        <w:t>Professora Doutora do Mestrado em Sustentabilidade e Tecnologia Ambiental – IFMG Bambuí, cecilia.andrade@ifmg.edu.br</w:t>
      </w:r>
    </w:p>
    <w:p>
      <w:pPr>
        <w:pStyle w:val="GFDepatamentos"/>
        <w:rPr>
          <w:rFonts w:eastAsia="Times New Roman" w:cs="Times New Roman"/>
          <w:b/>
          <w:b/>
          <w:bCs/>
          <w:lang w:eastAsia="pt-BR"/>
        </w:rPr>
      </w:pPr>
      <w:r>
        <w:rPr>
          <w:rFonts w:cs="Times New Roman"/>
          <w:vertAlign w:val="superscript"/>
        </w:rPr>
        <w:t>(e)</w:t>
      </w:r>
      <w:r>
        <w:rPr>
          <w:rFonts w:cs="Times New Roman"/>
        </w:rPr>
        <w:t xml:space="preserve"> Doutor do Programa </w:t>
      </w:r>
      <w:r>
        <w:rPr>
          <w:rFonts w:eastAsia="Times New Roman" w:cs="Times New Roman"/>
          <w:lang w:eastAsia="pt-BR"/>
        </w:rPr>
        <w:t xml:space="preserve">Research Associate in Tropical Ecology - Lancaster Environment Centre, Lancaster University, </w:t>
      </w:r>
      <w:r>
        <w:rPr>
          <w:rFonts w:eastAsia="Times New Roman" w:cs="Times New Roman"/>
          <w:bCs/>
          <w:lang w:val="pt-BR" w:eastAsia="pt-BR" w:bidi="ar-SA"/>
        </w:rPr>
        <w:t>filipeufla@gmail.com</w:t>
      </w:r>
    </w:p>
    <w:p>
      <w:pPr>
        <w:pStyle w:val="GFDepatamentos"/>
        <w:rPr>
          <w:rFonts w:eastAsia="Times New Roman" w:cs="Times New Roman"/>
          <w:lang w:eastAsia="pt-BR"/>
        </w:rPr>
      </w:pPr>
      <w:r>
        <w:rPr>
          <w:rFonts w:eastAsia="Times New Roman" w:cs="Times New Roman"/>
          <w:vertAlign w:val="superscript"/>
          <w:lang w:eastAsia="pt-BR"/>
        </w:rPr>
        <w:t>(f)</w:t>
      </w:r>
      <w:r>
        <w:rPr>
          <w:rFonts w:eastAsia="Times New Roman" w:cs="Times New Roman"/>
          <w:lang w:eastAsia="pt-BR"/>
        </w:rPr>
        <w:t xml:space="preserve"> Professor Doutor do </w:t>
      </w:r>
      <w:r>
        <w:rPr>
          <w:rFonts w:cs="Times New Roman"/>
        </w:rPr>
        <w:t xml:space="preserve">Mestrado em Sustentabilidade e Tecnologia Ambiental – IFMG Bambuí, </w:t>
      </w:r>
      <w:r>
        <w:rPr>
          <w:rStyle w:val="Gi"/>
          <w:rFonts w:cs="Times New Roman"/>
        </w:rPr>
        <w:t>ricardo.cavalcanti@ifmg.edu.br</w:t>
      </w:r>
    </w:p>
    <w:p>
      <w:pPr>
        <w:pStyle w:val="GFDepatamentos"/>
        <w:rPr>
          <w:lang w:val="pt-PT"/>
        </w:rPr>
      </w:pPr>
      <w:r>
        <w:rPr>
          <w:lang w:val="pt-PT"/>
        </w:rPr>
      </w:r>
    </w:p>
    <w:p>
      <w:pPr>
        <w:pStyle w:val="GFEixo"/>
        <w:rPr>
          <w:b w:val="false"/>
          <w:b w:val="false"/>
          <w:lang w:val="pt-PT" w:eastAsia="pt-PT"/>
        </w:rPr>
      </w:pPr>
      <w:r>
        <w:rPr>
          <w:lang w:val="pt-PT" w:eastAsia="pt-PT"/>
        </w:rPr>
        <w:t xml:space="preserve">Eixo: </w:t>
      </w:r>
      <w:r>
        <w:rPr>
          <w:b w:val="false"/>
          <w:lang w:val="pt-PT" w:eastAsia="pt-PT"/>
        </w:rPr>
        <w:t>GEOTECNOLOGIAS E MODELAGEM EM GEOGRAFIA FÍSICA</w:t>
      </w:r>
    </w:p>
    <w:p>
      <w:pPr>
        <w:pStyle w:val="GFRETI"/>
        <w:rPr>
          <w:lang w:val="pt-PT" w:eastAsia="pt-PT"/>
        </w:rPr>
      </w:pPr>
      <w:r>
        <w:rPr>
          <w:lang w:val="pt-PT" w:eastAsia="pt-PT"/>
        </w:rPr>
        <w:t>Resumo</w:t>
      </w:r>
    </w:p>
    <w:p>
      <w:pPr>
        <w:pStyle w:val="GFResumo"/>
        <w:ind w:left="567" w:right="565" w:hanging="0"/>
        <w:rPr>
          <w:lang w:val="pt-PT" w:eastAsia="pt-PT"/>
        </w:rPr>
      </w:pPr>
      <w:r>
        <w:rPr>
          <w:lang w:val="pt-PT" w:eastAsia="pt-PT"/>
        </w:rPr>
        <w:t>O Parque Nacional da Serra da Canastra se destaca como uma das mais importantes áreas de preservação do cerrado, apresentando inúmeros trabalhos sobre a sua fauna e flora. O processo de antropização é uma grande ameaça para esse ecossistema. Visando compreender a realidade local este trabalho teve como objetivo comparar os níveis altimétricos com os graus de antropização do parque. Para a realização deste trabalho utilizou-se os softwares Erdas 2011 e o ArcGis 10.0 e a metodologia que compara os graus de hemerobia do ambiente. Observou-se que nos locais mais elevados, 47% da área, tem menor grau de antropização e as áreas de menor elevação um maior grau de antropização.</w:t>
      </w:r>
      <w:r>
        <w:rPr/>
        <w:t xml:space="preserve"> </w:t>
      </w:r>
      <w:r>
        <w:rPr>
          <w:lang w:val="pt-PT" w:eastAsia="pt-PT"/>
        </w:rPr>
        <w:t xml:space="preserve">O sensoriamento remoto se destaca devido a obtenção de dados de forma rápida e precisa, permitindo a análise e atualização das informações das áreas de interesse, facilitando o processo de monitoramento e gestão das áreas de preserveção.   </w:t>
      </w:r>
    </w:p>
    <w:p>
      <w:pPr>
        <w:pStyle w:val="GFPalavra"/>
        <w:ind w:left="567" w:right="565" w:hanging="0"/>
        <w:rPr>
          <w:b w:val="false"/>
          <w:b w:val="false"/>
        </w:rPr>
      </w:pPr>
      <w:r>
        <w:rPr>
          <w:b w:val="false"/>
          <w:lang w:val="pt-PT"/>
        </w:rPr>
        <w:t xml:space="preserve">Palavras chave: </w:t>
      </w:r>
      <w:r>
        <w:rPr>
          <w:b w:val="false"/>
        </w:rPr>
        <w:t>Sensoriamento Remoto, Antropização, Hemerobia, Altimetria.</w:t>
      </w:r>
    </w:p>
    <w:p>
      <w:pPr>
        <w:pStyle w:val="Ttulo1"/>
        <w:numPr>
          <w:ilvl w:val="0"/>
          <w:numId w:val="1"/>
        </w:numPr>
        <w:rPr>
          <w:lang w:val="pt-PT"/>
        </w:rPr>
      </w:pPr>
      <w:r>
        <w:rPr>
          <w:lang w:val="pt-PT"/>
        </w:rPr>
        <w:t>INTRODUÇÃO</w:t>
      </w:r>
    </w:p>
    <w:p>
      <w:pPr>
        <w:pStyle w:val="Normal1"/>
        <w:spacing w:lineRule="auto" w:line="360" w:before="0" w:after="120"/>
        <w:jc w:val="both"/>
        <w:rPr>
          <w:lang w:val="pt-PT"/>
        </w:rPr>
      </w:pPr>
      <w:r>
        <w:rPr>
          <w:lang w:val="pt-PT"/>
        </w:rPr>
        <w:t xml:space="preserve">O Parque Nacional da Serra da Canastra (PNSC), a segunda maior unidade de conservação de Minas Gerais, ultimamente, vem tendo sua fauna e flora investigada detalhadamente (Romero e Nakajima 1999). Esta unidade de conservação apresenta, em sua maior parte, o cerrado como vegetação dominante. </w:t>
      </w:r>
    </w:p>
    <w:p>
      <w:pPr>
        <w:pStyle w:val="Normal1"/>
        <w:spacing w:lineRule="auto" w:line="360" w:before="0" w:after="120"/>
        <w:jc w:val="both"/>
        <w:rPr>
          <w:lang w:val="pt-PT"/>
        </w:rPr>
      </w:pPr>
      <w:r>
        <w:rPr>
          <w:lang w:val="pt-PT"/>
        </w:rPr>
        <w:t xml:space="preserve">O cerrado possui uma grande variedade de paisagens, apresentando um grande número fitofisionômico (RIZZINI, 1979; EITEN, 1983; RIBEIRO e WALTER, 1998; SILVA, 2005). Este apresenta grande importância no que se diz respeito à disponibilidade de águas subterrâneas e a presença de nascentes de rios importantes (WWF, 2000), tanto econômica, social e ambiental, por exemplo, o Rio São Francisco (MMA. 2003).  </w:t>
      </w:r>
    </w:p>
    <w:p>
      <w:pPr>
        <w:pStyle w:val="Normal1"/>
        <w:spacing w:lineRule="auto" w:line="360" w:before="0" w:after="120"/>
        <w:jc w:val="both"/>
        <w:rPr>
          <w:lang w:val="pt-PT"/>
        </w:rPr>
      </w:pPr>
      <w:r>
        <w:rPr>
          <w:lang w:val="pt-PT"/>
        </w:rPr>
        <w:t>O processo de antropização é uma grande ameaça a ecossistemas, favorecido principalmente pela vegetação predominantemente aberta, introdução de plantas para paisagismo e perturbações como pisoteio por gado e incêndios recorrentes usados para rebrota do capim para gado nos chamados “campos nativos”, que vêm sendo substituídos por braquiária e outros capins exóticos (DE FILIPPO et al., 2007).</w:t>
      </w:r>
    </w:p>
    <w:p>
      <w:pPr>
        <w:pStyle w:val="Normal1"/>
        <w:spacing w:lineRule="auto" w:line="360" w:before="0" w:after="120"/>
        <w:jc w:val="both"/>
        <w:rPr>
          <w:lang w:val="pt-PT"/>
        </w:rPr>
      </w:pPr>
      <w:r>
        <w:rPr>
          <w:lang w:val="pt-PT"/>
        </w:rPr>
        <w:t>A antropização pode causar alterações em diversos níveis incluindo efeitos sobre os indivíduos, efeitos genéticos, efeitos sobre a dinâmica de populações, a comunidade e processos do ecossistema (PARKER et al. 1999).</w:t>
      </w:r>
    </w:p>
    <w:p>
      <w:pPr>
        <w:pStyle w:val="Normal1"/>
        <w:spacing w:lineRule="auto" w:line="360" w:before="0" w:after="120"/>
        <w:jc w:val="both"/>
        <w:rPr>
          <w:lang w:val="pt-PT"/>
        </w:rPr>
      </w:pPr>
      <w:r>
        <w:rPr>
          <w:lang w:val="pt-PT"/>
        </w:rPr>
        <w:t>Atualmente a ciência geográfica vem buscando novas tecnologias para se adequar a dinâmica das transformações do espaço, para isso, o sensoriamento remoto, se destaca como ferramenta para automatizar e aprofundar os estudos de diversos tipos de paisagens (SILVA, 2005). O sensoriamento remoto pode ser considerado como atividades que auxiliam na obtenção de informações da superfície terrestre sem a necessidade de contato direto (MORAIS, 2002), para isto pode-se utilizar fotografias aéreas, imagens de satélites, e até mesmo o uso de drones. Esta técnica é utilizada para a elaboração de mapas, coletas de dados, reconhecer/calcular áreas e identificar objetos como rios, lagos, solos, matas, produção agrícolas, etc (FIGUEIREDO, 2005).</w:t>
      </w:r>
    </w:p>
    <w:p>
      <w:pPr>
        <w:pStyle w:val="Normal1"/>
        <w:spacing w:lineRule="auto" w:line="360" w:before="0" w:after="120"/>
        <w:jc w:val="both"/>
        <w:rPr>
          <w:lang w:val="pt-PT"/>
        </w:rPr>
      </w:pPr>
      <w:r>
        <w:rPr>
          <w:lang w:val="pt-PT"/>
        </w:rPr>
        <w:t xml:space="preserve">Ao criar um mapa de uma área, utilizando o sensoriamento remoto, pode-se por exemplo, observar o uso da terra e as condições da vegetação natural, subsidiando novas tecnologias ambientais que possibilitem uma melhor aplicação de estratégias sustentáveis que permitam a preservação da biodiversidade local. Nesse contexto, o objetivo desse trabalho é comparar, com o uso de sensoriamento remoto, os níveis altimétricos (hipsométricos) do Parque Nacional da Serra da Canastra (PNSC) e seus relativos graus de antropização.  </w:t>
      </w:r>
    </w:p>
    <w:p>
      <w:pPr>
        <w:pStyle w:val="Ttulo1"/>
        <w:numPr>
          <w:ilvl w:val="0"/>
          <w:numId w:val="1"/>
        </w:numPr>
        <w:rPr/>
      </w:pPr>
      <w:r>
        <w:rPr/>
        <w:t>MATERIAIS E MÉTODOS</w:t>
      </w:r>
    </w:p>
    <w:p>
      <w:pPr>
        <w:pStyle w:val="Normal1"/>
        <w:spacing w:lineRule="auto" w:line="360" w:before="0" w:after="120"/>
        <w:jc w:val="both"/>
        <w:rPr>
          <w:b/>
          <w:b/>
          <w:lang w:val="pt-PT"/>
        </w:rPr>
      </w:pPr>
      <w:r>
        <w:rPr>
          <w:b/>
          <w:lang w:val="pt-PT"/>
        </w:rPr>
        <w:t>2.1 Área de estudo</w:t>
      </w:r>
    </w:p>
    <w:p>
      <w:pPr>
        <w:pStyle w:val="Normal1"/>
        <w:spacing w:lineRule="auto" w:line="360" w:before="0" w:after="120"/>
        <w:jc w:val="both"/>
        <w:rPr>
          <w:lang w:val="pt-PT"/>
        </w:rPr>
      </w:pPr>
      <w:r>
        <w:rPr>
          <w:lang w:val="pt-PT"/>
        </w:rPr>
        <w:t>Este trabalho teve como base o Parque nacional da Serra da Canastra, localizado a 46°35’56" Longitude Oeste e 20°18'16" Latitude Sul (BRASIL, 2005); entre os municípios de São Roque de Minas (41,13%), Sacramento (2,46%), Delfinópolis (40,30%), São João Batista do Glória (46,51%) Capitólio (18,78%), Vargem Bonita (31,63%) (BRASIL 2005; IBGE, 1996) (</w:t>
      </w:r>
      <w:r>
        <w:rPr>
          <w:b/>
          <w:lang w:val="pt-PT"/>
        </w:rPr>
        <w:t>Figura 1</w:t>
      </w:r>
      <w:r>
        <w:rPr>
          <w:lang w:val="pt-PT"/>
        </w:rPr>
        <w:t>).</w:t>
      </w:r>
    </w:p>
    <w:p>
      <w:pPr>
        <w:pStyle w:val="GFMapa"/>
        <w:rPr/>
      </w:pPr>
      <w:r>
        <w:rPr/>
        <w:drawing>
          <wp:inline distT="0" distB="0" distL="0" distR="0">
            <wp:extent cx="4072255" cy="2840990"/>
            <wp:effectExtent l="0" t="0" r="0" b="0"/>
            <wp:docPr id="1" name="Picture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2255" cy="2840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GFMapa"/>
        <w:rPr>
          <w:lang w:val="pt-PT"/>
        </w:rPr>
      </w:pPr>
      <w:r>
        <w:rPr>
          <w:lang w:val="pt-PT"/>
        </w:rPr>
        <w:t>Figura 1.  Municípios Abrangidos pelo Parque e pela Zona de Amortecimento. Ibama (BRASIL, 2005)</w:t>
      </w:r>
    </w:p>
    <w:p>
      <w:pPr>
        <w:pStyle w:val="GFMapa"/>
        <w:rPr>
          <w:lang w:val="pt-PT"/>
        </w:rPr>
      </w:pPr>
      <w:r>
        <w:rPr>
          <w:lang w:val="pt-PT"/>
        </w:rPr>
      </w:r>
    </w:p>
    <w:p>
      <w:pPr>
        <w:pStyle w:val="Normal1"/>
        <w:spacing w:lineRule="auto" w:line="360" w:before="0" w:after="120"/>
        <w:jc w:val="both"/>
        <w:rPr>
          <w:lang w:val="pt-PT"/>
        </w:rPr>
      </w:pPr>
      <w:r>
        <w:rPr>
          <w:lang w:val="pt-PT"/>
        </w:rPr>
        <w:t>O parque possui como unidade de conservação uma aérea total de 197.787 divididas em duas partes como descrito por pelo Plano de Manejo do Parque (BRASIL, 2005; IBAMA, 1993; 1989) (</w:t>
      </w:r>
      <w:r>
        <w:rPr>
          <w:b/>
          <w:lang w:val="pt-PT"/>
        </w:rPr>
        <w:t>Figura 2</w:t>
      </w:r>
      <w:r>
        <w:rPr>
          <w:lang w:val="pt-PT"/>
        </w:rPr>
        <w:t>):</w:t>
      </w:r>
    </w:p>
    <w:p>
      <w:pPr>
        <w:pStyle w:val="Normal1"/>
        <w:spacing w:lineRule="auto" w:line="360" w:before="0" w:after="120"/>
        <w:jc w:val="both"/>
        <w:rPr>
          <w:lang w:val="pt-PT"/>
        </w:rPr>
      </w:pPr>
      <w:r>
        <w:rPr>
          <w:lang w:val="pt-PT"/>
        </w:rPr>
        <w:t>- Área consolidada chamada de Chapadão da Canastra possuindo 71.525 hectares. Esta área já possui a situação regularizada de posse do IBAMA/ICMBio;</w:t>
      </w:r>
    </w:p>
    <w:p>
      <w:pPr>
        <w:pStyle w:val="Normal1"/>
        <w:spacing w:lineRule="auto" w:line="360" w:before="0" w:after="120"/>
        <w:jc w:val="both"/>
        <w:rPr>
          <w:lang w:val="pt-PT"/>
        </w:rPr>
      </w:pPr>
      <w:r>
        <w:rPr>
          <w:lang w:val="pt-PT"/>
        </w:rPr>
        <w:t>- Área não regularizada denominada de Chapadão da Babilônia com 130.000 hectares, cuja situação fundiária ainda não pertence ao IBAMA/ICMBio;</w:t>
      </w:r>
    </w:p>
    <w:p>
      <w:pPr>
        <w:pStyle w:val="GFMapa"/>
        <w:rPr/>
      </w:pPr>
      <w:r>
        <w:rPr/>
        <w:drawing>
          <wp:inline distT="0" distB="0" distL="0" distR="0">
            <wp:extent cx="4145915" cy="2853055"/>
            <wp:effectExtent l="0" t="0" r="0" b="0"/>
            <wp:docPr id="2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5915" cy="2853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GFMapa"/>
        <w:rPr>
          <w:bCs/>
          <w:szCs w:val="20"/>
        </w:rPr>
      </w:pPr>
      <w:r>
        <w:rPr>
          <w:bCs/>
          <w:szCs w:val="20"/>
        </w:rPr>
        <w:t>Figura 2. Divisão do Parque Nacional da Serra da Canastra (PNSC) em Dois Espaços. IBAMA (BRASIL, 2005)</w:t>
      </w:r>
    </w:p>
    <w:p>
      <w:pPr>
        <w:pStyle w:val="GFMapa"/>
        <w:rPr>
          <w:bCs/>
          <w:szCs w:val="20"/>
        </w:rPr>
      </w:pPr>
      <w:r>
        <w:rPr>
          <w:bCs/>
          <w:szCs w:val="20"/>
        </w:rPr>
      </w:r>
    </w:p>
    <w:p>
      <w:pPr>
        <w:pStyle w:val="Ttulo2"/>
        <w:numPr>
          <w:ilvl w:val="1"/>
          <w:numId w:val="1"/>
        </w:numPr>
        <w:rPr>
          <w:lang w:val="pt-PT"/>
        </w:rPr>
      </w:pPr>
      <w:r>
        <w:rPr>
          <w:lang w:val="pt-PT"/>
        </w:rPr>
        <w:t>Uso de satélites e softwares</w:t>
      </w:r>
    </w:p>
    <w:p>
      <w:pPr>
        <w:pStyle w:val="Normal1"/>
        <w:spacing w:lineRule="auto" w:line="360" w:before="0" w:after="120"/>
        <w:jc w:val="both"/>
        <w:rPr>
          <w:lang w:val="pt-PT"/>
        </w:rPr>
      </w:pPr>
      <w:r>
        <w:rPr>
          <w:lang w:val="pt-PT"/>
        </w:rPr>
        <w:t>Para realização deste trabalho, utilizou-se imagens se satelites geradas no dia 16 de março de 2016 provenientes do satélite Landsat 8 disponibilizado pelo Instituto de Nacional de Pesquisas Espaciais – INPE (INPE, 2016). Para realizar a composição das bandas baseando-se no sistema RGB utilizou-se o software Erdas Imagine 2011 onde realizou-se também uma classificações híbrida enfatizando os níveis de antropização e do uso e ocupação do solo. Para gerar e observar os dados de altimétrica e a adequação dos elementos (legenda, escala, referência e coordenadas), bem como, a edição do mapa em escala de detalhe e produção final foi utilizado o programa ArcGis 10.0.</w:t>
      </w:r>
    </w:p>
    <w:p>
      <w:pPr>
        <w:pStyle w:val="Ttulo2"/>
        <w:numPr>
          <w:ilvl w:val="1"/>
          <w:numId w:val="1"/>
        </w:numPr>
        <w:rPr>
          <w:lang w:val="pt-PT"/>
        </w:rPr>
      </w:pPr>
      <w:r>
        <w:rPr>
          <w:lang w:val="pt-PT"/>
        </w:rPr>
        <w:t>Avaliação dos índices de antropização</w:t>
      </w:r>
    </w:p>
    <w:p>
      <w:pPr>
        <w:pStyle w:val="Normal1"/>
        <w:spacing w:lineRule="auto" w:line="360" w:before="0" w:after="120"/>
        <w:jc w:val="both"/>
        <w:rPr>
          <w:lang w:val="pt-PT"/>
        </w:rPr>
      </w:pPr>
      <w:r>
        <w:rPr>
          <w:lang w:val="pt-PT"/>
        </w:rPr>
        <w:t>Ao avaliar os graus de antropização, utilizou-se a metodologia de Jalas (1953). Estes são chamados por ele de “níveis de hemerobia” (Figura 3) e são divididos em quatro classificações de acordo com a cobertura vegetal do ambiente e o seu uso:</w:t>
      </w:r>
    </w:p>
    <w:p>
      <w:pPr>
        <w:pStyle w:val="NoSpacing"/>
        <w:spacing w:lineRule="auto" w:line="360"/>
        <w:jc w:val="both"/>
        <w:rPr/>
      </w:pPr>
      <w:r>
        <w:rPr/>
        <w:t xml:space="preserve">- </w:t>
      </w:r>
      <w:r>
        <w:rPr>
          <w:i/>
        </w:rPr>
        <w:t>Ahemerobia</w:t>
      </w:r>
      <w:r>
        <w:rPr/>
        <w:t xml:space="preserve"> – Área com quase/nenhuma ocorrência de antropização, geralmente correspondendo às Unidades de Conservação (UCs).</w:t>
      </w:r>
    </w:p>
    <w:p>
      <w:pPr>
        <w:pStyle w:val="NoSpacing"/>
        <w:spacing w:lineRule="auto" w:line="360"/>
        <w:jc w:val="both"/>
        <w:rPr/>
      </w:pPr>
      <w:r>
        <w:rPr/>
        <w:t xml:space="preserve">- </w:t>
      </w:r>
      <w:r>
        <w:rPr>
          <w:i/>
        </w:rPr>
        <w:t>Oligohemerobia</w:t>
      </w:r>
      <w:r>
        <w:rPr/>
        <w:t xml:space="preserve"> – Área com grande cobertura vegetal, em sua maioria arbóreo/arbustiva, dossel denso e/ou aberto podendo ser de reflorestamento em nível avançado de sucessão.</w:t>
      </w:r>
    </w:p>
    <w:p>
      <w:pPr>
        <w:pStyle w:val="NoSpacing"/>
        <w:spacing w:lineRule="auto" w:line="360"/>
        <w:jc w:val="both"/>
        <w:rPr/>
      </w:pPr>
      <w:r>
        <w:rPr/>
        <w:t>A Ahemerobia e Oligohemerobia foram classificados neste trabalho como “Baixa Antropização”.</w:t>
      </w:r>
    </w:p>
    <w:p>
      <w:pPr>
        <w:pStyle w:val="NoSpacing"/>
        <w:spacing w:lineRule="auto" w:line="360"/>
        <w:jc w:val="both"/>
        <w:rPr/>
      </w:pPr>
      <w:r>
        <w:rPr/>
        <w:t xml:space="preserve">- </w:t>
      </w:r>
      <w:r>
        <w:rPr>
          <w:i/>
        </w:rPr>
        <w:t>Mesohemerobia</w:t>
      </w:r>
      <w:r>
        <w:rPr/>
        <w:t xml:space="preserve"> (média Antropização) – áreas destinadas à produção rural, (agricultura e pecuária), reflorestamento inicial com árvores dispersas, ou seja, áreas mais artificializadas. </w:t>
      </w:r>
    </w:p>
    <w:p>
      <w:pPr>
        <w:pStyle w:val="NoSpacing"/>
        <w:spacing w:lineRule="auto" w:line="360"/>
        <w:jc w:val="both"/>
        <w:rPr/>
      </w:pPr>
      <w:r>
        <w:rPr/>
        <w:t xml:space="preserve">- Euhemerobia (alta Antropização) – Áreas destinadas à urbanização, solo exposto, mineração, entre outras. </w:t>
      </w:r>
    </w:p>
    <w:p>
      <w:pPr>
        <w:pStyle w:val="NoSpacing"/>
        <w:spacing w:lineRule="auto" w:line="360"/>
        <w:jc w:val="both"/>
        <w:rPr/>
      </w:pPr>
      <w:r>
        <w:drawing>
          <wp:anchor behindDoc="0" distT="0" distB="0" distL="114300" distR="114300" simplePos="0" locked="0" layoutInCell="1" allowOverlap="1" relativeHeight="20">
            <wp:simplePos x="0" y="0"/>
            <wp:positionH relativeFrom="column">
              <wp:posOffset>117475</wp:posOffset>
            </wp:positionH>
            <wp:positionV relativeFrom="paragraph">
              <wp:posOffset>969645</wp:posOffset>
            </wp:positionV>
            <wp:extent cx="5400675" cy="914400"/>
            <wp:effectExtent l="0" t="0" r="0" b="0"/>
            <wp:wrapSquare wrapText="bothSides"/>
            <wp:docPr id="3" name="Figura2" descr="https://upload.wikimedia.org/wikipedia/commons/2/28/Natur-Kultu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igura2" descr="https://upload.wikimedia.org/wikipedia/commons/2/28/Natur-Kultur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lang w:val="pt-PT"/>
        </w:rPr>
        <w:t>-</w:t>
      </w:r>
      <w:r>
        <w:rPr>
          <w:lang w:val="pt-PT"/>
        </w:rPr>
        <w:t xml:space="preserve"> Euhemerobia (Alta Antropização) – Áreas urbanizadas, destinadas à indústria, as vias asfaltadas, bem como o solo exposto. Nesta classe se encontram as áreas mais antropizadas, com dificuldade ou impossibilidade de reversão natural da vegetação.</w:t>
      </w:r>
    </w:p>
    <w:p>
      <w:pPr>
        <w:pStyle w:val="GFMapa"/>
        <w:rPr>
          <w:lang w:val="pt-PT"/>
        </w:rPr>
      </w:pPr>
      <w:r>
        <w:rPr>
          <w:lang w:val="pt-PT"/>
        </w:rPr>
        <w:t>Figura 3. Ilustração representativa dos Níveis de Hemerobia (SUKOPP, 1969)</w:t>
      </w:r>
    </w:p>
    <w:p>
      <w:pPr>
        <w:pStyle w:val="Normal1"/>
        <w:spacing w:lineRule="auto" w:line="360" w:before="0" w:after="120"/>
        <w:jc w:val="both"/>
        <w:rPr>
          <w:lang w:val="pt-PT"/>
        </w:rPr>
      </w:pPr>
      <w:r>
        <w:rPr>
          <w:lang w:val="pt-PT"/>
        </w:rPr>
      </w:r>
    </w:p>
    <w:p>
      <w:pPr>
        <w:pStyle w:val="Ttulo1"/>
        <w:numPr>
          <w:ilvl w:val="0"/>
          <w:numId w:val="1"/>
        </w:numPr>
        <w:rPr>
          <w:lang w:val="pt-PT"/>
        </w:rPr>
      </w:pPr>
      <w:r>
        <w:rPr>
          <w:sz w:val="22"/>
          <w:szCs w:val="22"/>
          <w:lang w:val="pt-PT"/>
        </w:rPr>
        <w:t xml:space="preserve">RESULTADOS E </w:t>
      </w:r>
      <w:r>
        <w:rPr>
          <w:lang w:val="pt-PT"/>
        </w:rPr>
        <w:t>DISCUSSÃO</w:t>
      </w:r>
    </w:p>
    <w:p>
      <w:pPr>
        <w:pStyle w:val="Normal1"/>
        <w:spacing w:lineRule="auto" w:line="360" w:before="0" w:after="120"/>
        <w:jc w:val="both"/>
        <w:rPr>
          <w:lang w:val="pt-PT"/>
        </w:rPr>
      </w:pPr>
      <w:r>
        <w:rPr>
          <w:lang w:val="pt-PT"/>
        </w:rPr>
        <w:t>O mapa  abaixo (Figura 4) permite observar a elevação do PNSC e</w:t>
      </w:r>
      <w:r>
        <w:rPr>
          <w:sz w:val="20"/>
          <w:lang w:eastAsia="pt-BR"/>
        </w:rPr>
        <w:t xml:space="preserve"> das áreas pertencentes aos municipios presentes em seu entorno</w:t>
      </w:r>
      <w:r>
        <w:rPr>
          <w:lang w:val="pt-PT"/>
        </w:rPr>
        <w:t>, indicando os níveis altimétricos de cada município que possui áreas pertencentes ao parque. Os níveis mais elevados encontram-se dentro do parque, variando entre 1060 a 1500 metros aproximadamente (BRASIL, 2005), e as partes mais baixas estão dentro dos municípios de Capitólio e Delfinópolis, apresentando elevações entre 510 e 950 aproximadamente (IBGE, 2016) onde localiza-se represamentos pertencentes ao lago de Furnas (FURNAS, 2016).</w:t>
      </w:r>
    </w:p>
    <w:p>
      <w:pPr>
        <w:pStyle w:val="GFMapa"/>
        <w:rPr/>
      </w:pPr>
      <w:r>
        <w:rPr/>
        <w:drawing>
          <wp:inline distT="0" distB="0" distL="0" distR="0">
            <wp:extent cx="4608830" cy="3736975"/>
            <wp:effectExtent l="0" t="0" r="0" b="0"/>
            <wp:docPr id="4" name="Figura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igura3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8830" cy="373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GFMapa"/>
        <w:rPr>
          <w:lang w:eastAsia="pt-BR"/>
        </w:rPr>
      </w:pPr>
      <w:r>
        <w:rPr>
          <w:lang w:eastAsia="pt-BR"/>
        </w:rPr>
        <w:t>Figura 4.  Elevação (hipsometria) do Parque Nacional da Serra da Canastra e das áreas pertencentes aos municipios presentes em seu entorno.</w:t>
      </w:r>
    </w:p>
    <w:p>
      <w:pPr>
        <w:pStyle w:val="NoSpacing"/>
        <w:spacing w:lineRule="auto" w:line="360" w:before="240" w:after="120"/>
        <w:contextualSpacing/>
        <w:jc w:val="both"/>
        <w:rPr>
          <w:lang w:eastAsia="pt-BR"/>
        </w:rPr>
      </w:pPr>
      <w:r>
        <w:rPr>
          <w:lang w:eastAsia="pt-BR"/>
        </w:rPr>
        <w:t>O mapa (</w:t>
      </w:r>
      <w:r>
        <w:rPr>
          <w:b/>
          <w:lang w:eastAsia="pt-BR"/>
        </w:rPr>
        <w:t>Figura 5</w:t>
      </w:r>
      <w:r>
        <w:rPr>
          <w:lang w:eastAsia="pt-BR"/>
        </w:rPr>
        <w:t>) enfatizando apenas a área do PNSC e sua Zona de Amortecimento (ZA) permite observar  que grande parte das áreas da zona de amortecimento apresentam-se com altimetria mais baixa e mais aplainada. A interação das informações desse mapa com dados referentes aos graus de antropização permitiu relacionar os graus de anropização (hemerobias) as variações altimetricas apresentados no parque.</w:t>
      </w:r>
    </w:p>
    <w:p>
      <w:pPr>
        <w:pStyle w:val="GFMapa"/>
        <w:rPr/>
      </w:pPr>
      <w:r>
        <w:rPr/>
        <w:drawing>
          <wp:inline distT="0" distB="0" distL="0" distR="0">
            <wp:extent cx="4139565" cy="3347085"/>
            <wp:effectExtent l="0" t="0" r="0" b="0"/>
            <wp:docPr id="5" name="Figura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igura4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9565" cy="3347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GFMapa"/>
        <w:rPr/>
      </w:pPr>
      <w:r>
        <w:rPr/>
        <w:t>Figura 5. Mapa Hipsométrico (Altimétrico) da Zona de Amortecimento do Parque Nacional da Serra da Canastra</w:t>
      </w:r>
    </w:p>
    <w:p>
      <w:pPr>
        <w:pStyle w:val="NoSpacing"/>
        <w:rPr>
          <w:sz w:val="20"/>
        </w:rPr>
      </w:pPr>
      <w:r>
        <w:rPr>
          <w:sz w:val="20"/>
        </w:rPr>
      </w:r>
    </w:p>
    <w:p>
      <w:pPr>
        <w:pStyle w:val="NoSpacing"/>
        <w:spacing w:lineRule="auto" w:line="360" w:before="240" w:after="120"/>
        <w:contextualSpacing/>
        <w:jc w:val="both"/>
        <w:rPr/>
      </w:pPr>
      <w:r>
        <w:rPr/>
        <w:t>Visando avaliar os graus de antropização segundo a metodologia de Jalas (1953) elaborou-se um mapa da área de interesse (</w:t>
      </w:r>
      <w:r>
        <w:rPr>
          <w:b/>
        </w:rPr>
        <w:t>Figura 6</w:t>
      </w:r>
      <w:r>
        <w:rPr/>
        <w:t xml:space="preserve">) abordando os “níveis de hemerobia” onde foi possível observar as áreas de Oligohemerobia (Baixa Antropização), Mesohemerobia (Média Antropização) e Euhemerobia (Alta Antropização).  </w:t>
      </w:r>
    </w:p>
    <w:p>
      <w:pPr>
        <w:pStyle w:val="GFMapa"/>
        <w:rPr/>
      </w:pPr>
      <w:r>
        <w:rPr/>
        <w:drawing>
          <wp:inline distT="0" distB="0" distL="0" distR="0">
            <wp:extent cx="4121150" cy="3731260"/>
            <wp:effectExtent l="0" t="0" r="0" b="0"/>
            <wp:docPr id="6" name="Figura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igura5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1150" cy="3731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GFMapa"/>
        <w:rPr>
          <w:lang w:val="pt-PT"/>
        </w:rPr>
      </w:pPr>
      <w:r>
        <w:rPr/>
        <w:t>Figura 6. Graus de Antropização (Hemerobia) do PNSC e sua zona de Amortecimento</w:t>
      </w:r>
      <w:r>
        <w:rPr>
          <w:lang w:val="pt-PT"/>
        </w:rPr>
        <w:t>.</w:t>
      </w:r>
    </w:p>
    <w:p>
      <w:pPr>
        <w:pStyle w:val="Normal1"/>
        <w:spacing w:before="0" w:after="120"/>
        <w:jc w:val="center"/>
        <w:rPr>
          <w:sz w:val="20"/>
          <w:lang w:val="pt-PT"/>
        </w:rPr>
      </w:pPr>
      <w:r>
        <w:rPr>
          <w:sz w:val="20"/>
          <w:lang w:val="pt-PT"/>
        </w:rPr>
      </w:r>
    </w:p>
    <w:p>
      <w:pPr>
        <w:pStyle w:val="Normal1"/>
        <w:spacing w:lineRule="auto" w:line="360" w:before="0" w:after="120"/>
        <w:jc w:val="both"/>
        <w:rPr>
          <w:lang w:val="pt-PT"/>
        </w:rPr>
      </w:pPr>
      <w:r>
        <w:rPr>
          <w:lang w:val="pt-PT"/>
        </w:rPr>
        <w:t xml:space="preserve">Avaliando a </w:t>
      </w:r>
      <w:r>
        <w:rPr>
          <w:b/>
          <w:lang w:val="pt-PT"/>
        </w:rPr>
        <w:t>Figura 6</w:t>
      </w:r>
      <w:r>
        <w:rPr>
          <w:lang w:val="pt-PT"/>
        </w:rPr>
        <w:t xml:space="preserve"> e a </w:t>
      </w:r>
      <w:r>
        <w:rPr>
          <w:b/>
          <w:lang w:val="pt-PT"/>
        </w:rPr>
        <w:t>Tabela 1,</w:t>
      </w:r>
      <w:r>
        <w:rPr>
          <w:lang w:val="pt-PT"/>
        </w:rPr>
        <w:t xml:space="preserve"> apenas</w:t>
      </w:r>
      <w:r>
        <w:rPr>
          <w:b/>
          <w:lang w:val="pt-PT"/>
        </w:rPr>
        <w:t xml:space="preserve"> </w:t>
      </w:r>
      <w:r>
        <w:rPr>
          <w:lang w:val="pt-PT"/>
        </w:rPr>
        <w:t>2,44% da área apresenta alta antropização sendo que cerca de 1% está localizada nas menores altitudes da área de estudo. Em contrapartida, 60,61% da área apresenta baixa antropização sendo que 46,98% está localizada em altitudes maiores que 895 metros demonstrando que a presença de altitudes elevadas no PNSC asssociadas a área delimitada para a preservação é um fator que auxilia na conservação ambiental.</w:t>
      </w:r>
    </w:p>
    <w:p>
      <w:pPr>
        <w:pStyle w:val="NoSpacing"/>
        <w:spacing w:lineRule="auto" w:line="360" w:before="240" w:after="120"/>
        <w:contextualSpacing/>
        <w:jc w:val="both"/>
        <w:rPr/>
      </w:pPr>
      <w:r>
        <w:rPr/>
        <w:t>Ao comparar os dois mapas, Hipsométrico e de Antropização (</w:t>
      </w:r>
      <w:r>
        <w:rPr>
          <w:b/>
        </w:rPr>
        <w:t>Figuras 5 e 6</w:t>
      </w:r>
      <w:r>
        <w:rPr/>
        <w:t>), nota-se que a maior parte das áreas com Alto Grau de Antropização (Euhemerobia) está localizada fora do parque. Isso se deve principalmente ao fato destas áreas não estarem protegidas e/ou regulamentadas (BRASIL, 2005).</w:t>
      </w:r>
    </w:p>
    <w:p>
      <w:pPr>
        <w:pStyle w:val="GFMapa"/>
        <w:rPr>
          <w:lang w:val="pt-PT"/>
        </w:rPr>
      </w:pPr>
      <w:r>
        <w:rPr>
          <w:lang w:val="pt-PT"/>
        </w:rPr>
        <w:t>Tabela 1. Graus de Antropização em área (em hectares e %)</w:t>
      </w:r>
    </w:p>
    <w:tbl>
      <w:tblPr>
        <w:tblW w:w="9223" w:type="dxa"/>
        <w:jc w:val="center"/>
        <w:tblInd w:w="0" w:type="dxa"/>
        <w:tblBorders>
          <w:top w:val="double" w:sz="4" w:space="0" w:color="00000A"/>
        </w:tblBorders>
        <w:tblCellMar>
          <w:top w:w="0" w:type="dxa"/>
          <w:left w:w="84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2384"/>
        <w:gridCol w:w="804"/>
        <w:gridCol w:w="804"/>
        <w:gridCol w:w="1142"/>
        <w:gridCol w:w="1204"/>
        <w:gridCol w:w="1203"/>
        <w:gridCol w:w="2"/>
        <w:gridCol w:w="908"/>
        <w:gridCol w:w="2"/>
        <w:gridCol w:w="602"/>
        <w:gridCol w:w="8"/>
        <w:gridCol w:w="2"/>
        <w:gridCol w:w="157"/>
      </w:tblGrid>
      <w:tr>
        <w:trPr>
          <w:trHeight w:val="109" w:hRule="atLeast"/>
        </w:trPr>
        <w:tc>
          <w:tcPr>
            <w:tcW w:w="2384" w:type="dxa"/>
            <w:vMerge w:val="restart"/>
            <w:tcBorders>
              <w:top w:val="double" w:sz="4" w:space="0" w:color="00000A"/>
            </w:tcBorders>
            <w:shd w:color="auto" w:fill="FFFFFF" w:val="clear"/>
            <w:vAlign w:val="center"/>
          </w:tcPr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  <w:t>Graus de Antropização</w:t>
            </w:r>
          </w:p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</w:r>
          </w:p>
        </w:tc>
        <w:tc>
          <w:tcPr>
            <w:tcW w:w="5157" w:type="dxa"/>
            <w:gridSpan w:val="5"/>
            <w:tcBorders>
              <w:top w:val="double" w:sz="4" w:space="0" w:color="00000A"/>
            </w:tcBorders>
            <w:shd w:color="auto" w:fill="FFFFFF" w:val="clear"/>
            <w:vAlign w:val="center"/>
          </w:tcPr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  <w:t>Altitude</w:t>
            </w:r>
          </w:p>
        </w:tc>
        <w:tc>
          <w:tcPr>
            <w:tcW w:w="910" w:type="dxa"/>
            <w:gridSpan w:val="2"/>
            <w:tcBorders>
              <w:top w:val="double" w:sz="4" w:space="0" w:color="00000A"/>
            </w:tcBorders>
            <w:shd w:color="auto" w:fill="FFFFFF" w:val="clear"/>
            <w:vAlign w:val="center"/>
          </w:tcPr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  <w:t>Total</w:t>
            </w:r>
          </w:p>
        </w:tc>
        <w:tc>
          <w:tcPr>
            <w:tcW w:w="612" w:type="dxa"/>
            <w:gridSpan w:val="3"/>
            <w:tcBorders>
              <w:top w:val="double" w:sz="4" w:space="0" w:color="00000A"/>
            </w:tcBorders>
            <w:shd w:color="auto" w:fill="auto" w:val="clear"/>
          </w:tcPr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  <w:t>Total</w:t>
            </w:r>
          </w:p>
        </w:tc>
        <w:tc>
          <w:tcPr>
            <w:tcW w:w="159" w:type="dxa"/>
            <w:gridSpan w:val="2"/>
            <w:tcBorders>
              <w:top w:val="double" w:sz="4" w:space="0" w:color="00000A"/>
            </w:tcBorders>
            <w:shd w:color="auto" w:fill="auto" w:val="clear"/>
          </w:tcPr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</w:r>
          </w:p>
        </w:tc>
      </w:tr>
      <w:tr>
        <w:trPr>
          <w:trHeight w:val="109" w:hRule="atLeast"/>
        </w:trPr>
        <w:tc>
          <w:tcPr>
            <w:tcW w:w="2384" w:type="dxa"/>
            <w:vMerge w:val="continue"/>
            <w:tcBorders>
              <w:bottom w:val="single" w:sz="4" w:space="0" w:color="00000A"/>
              <w:insideH w:val="single" w:sz="4" w:space="0" w:color="00000A"/>
            </w:tcBorders>
            <w:shd w:color="auto" w:fill="FFFFFF" w:val="clear"/>
            <w:vAlign w:val="center"/>
          </w:tcPr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</w:r>
          </w:p>
        </w:tc>
        <w:tc>
          <w:tcPr>
            <w:tcW w:w="804" w:type="dxa"/>
            <w:tcBorders>
              <w:bottom w:val="single" w:sz="4" w:space="0" w:color="00000A"/>
              <w:insideH w:val="single" w:sz="4" w:space="0" w:color="00000A"/>
            </w:tcBorders>
            <w:shd w:color="auto" w:fill="FFFFFF" w:val="clear"/>
            <w:vAlign w:val="center"/>
          </w:tcPr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  <w:t>552 - 764</w:t>
            </w:r>
          </w:p>
        </w:tc>
        <w:tc>
          <w:tcPr>
            <w:tcW w:w="804" w:type="dxa"/>
            <w:tcBorders>
              <w:bottom w:val="single" w:sz="4" w:space="0" w:color="00000A"/>
              <w:insideH w:val="single" w:sz="4" w:space="0" w:color="00000A"/>
            </w:tcBorders>
            <w:shd w:color="auto" w:fill="FFFFFF" w:val="clear"/>
            <w:vAlign w:val="center"/>
          </w:tcPr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  <w:t>765 - 894</w:t>
            </w:r>
          </w:p>
        </w:tc>
        <w:tc>
          <w:tcPr>
            <w:tcW w:w="1142" w:type="dxa"/>
            <w:tcBorders>
              <w:bottom w:val="single" w:sz="4" w:space="0" w:color="00000A"/>
              <w:insideH w:val="single" w:sz="4" w:space="0" w:color="00000A"/>
            </w:tcBorders>
            <w:shd w:color="auto" w:fill="FFFFFF" w:val="clear"/>
          </w:tcPr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  <w:t>%</w:t>
            </w:r>
          </w:p>
        </w:tc>
        <w:tc>
          <w:tcPr>
            <w:tcW w:w="1204" w:type="dxa"/>
            <w:tcBorders>
              <w:bottom w:val="single" w:sz="4" w:space="0" w:color="00000A"/>
              <w:insideH w:val="single" w:sz="4" w:space="0" w:color="00000A"/>
            </w:tcBorders>
            <w:shd w:color="auto" w:fill="FFFFFF" w:val="clear"/>
            <w:vAlign w:val="center"/>
          </w:tcPr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  <w:t>1.042 - 1.192</w:t>
            </w:r>
          </w:p>
        </w:tc>
        <w:tc>
          <w:tcPr>
            <w:tcW w:w="1205" w:type="dxa"/>
            <w:gridSpan w:val="2"/>
            <w:tcBorders>
              <w:bottom w:val="single" w:sz="4" w:space="0" w:color="00000A"/>
              <w:insideH w:val="single" w:sz="4" w:space="0" w:color="00000A"/>
            </w:tcBorders>
            <w:shd w:color="auto" w:fill="FFFFFF" w:val="clear"/>
            <w:vAlign w:val="center"/>
          </w:tcPr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  <w:t>1.193 - 1.503</w:t>
            </w:r>
          </w:p>
        </w:tc>
        <w:tc>
          <w:tcPr>
            <w:tcW w:w="910" w:type="dxa"/>
            <w:gridSpan w:val="2"/>
            <w:tcBorders>
              <w:bottom w:val="single" w:sz="4" w:space="0" w:color="00000A"/>
              <w:insideH w:val="single" w:sz="4" w:space="0" w:color="00000A"/>
            </w:tcBorders>
            <w:shd w:color="auto" w:fill="FFFFFF" w:val="clear"/>
            <w:vAlign w:val="center"/>
          </w:tcPr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  <w:t>Hectares</w:t>
            </w:r>
          </w:p>
        </w:tc>
        <w:tc>
          <w:tcPr>
            <w:tcW w:w="612" w:type="dxa"/>
            <w:gridSpan w:val="3"/>
            <w:tcBorders>
              <w:bottom w:val="single" w:sz="4" w:space="0" w:color="00000A"/>
              <w:insideH w:val="single" w:sz="4" w:space="0" w:color="00000A"/>
            </w:tcBorders>
            <w:shd w:color="auto" w:fill="auto" w:val="clear"/>
          </w:tcPr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</w:r>
          </w:p>
        </w:tc>
        <w:tc>
          <w:tcPr>
            <w:tcW w:w="157" w:type="dxa"/>
            <w:tcBorders>
              <w:bottom w:val="single" w:sz="4" w:space="0" w:color="00000A"/>
              <w:insideH w:val="single" w:sz="4" w:space="0" w:color="00000A"/>
            </w:tcBorders>
            <w:shd w:color="auto" w:fill="auto" w:val="clear"/>
          </w:tcPr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</w:r>
          </w:p>
        </w:tc>
      </w:tr>
      <w:tr>
        <w:trPr>
          <w:trHeight w:val="109" w:hRule="atLeast"/>
        </w:trPr>
        <w:tc>
          <w:tcPr>
            <w:tcW w:w="2384" w:type="dxa"/>
            <w:tcBorders>
              <w:top w:val="single" w:sz="4" w:space="0" w:color="00000A"/>
            </w:tcBorders>
            <w:shd w:color="auto" w:fill="FFFFFF" w:val="clear"/>
            <w:vAlign w:val="center"/>
          </w:tcPr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  <w:t>Baixa Antropização (Ahemerobia/ Oligohemerobia)</w:t>
            </w:r>
          </w:p>
        </w:tc>
        <w:tc>
          <w:tcPr>
            <w:tcW w:w="804" w:type="dxa"/>
            <w:tcBorders>
              <w:top w:val="single" w:sz="4" w:space="0" w:color="00000A"/>
            </w:tcBorders>
            <w:shd w:color="auto" w:fill="FFFFFF" w:val="clear"/>
            <w:vAlign w:val="center"/>
          </w:tcPr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  <w:t>19644,7</w:t>
            </w:r>
          </w:p>
        </w:tc>
        <w:tc>
          <w:tcPr>
            <w:tcW w:w="804" w:type="dxa"/>
            <w:tcBorders>
              <w:top w:val="single" w:sz="4" w:space="0" w:color="00000A"/>
            </w:tcBorders>
            <w:shd w:color="auto" w:fill="FFFFFF" w:val="clear"/>
            <w:vAlign w:val="center"/>
          </w:tcPr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  <w:t>43948,6</w:t>
            </w:r>
          </w:p>
        </w:tc>
        <w:tc>
          <w:tcPr>
            <w:tcW w:w="1142" w:type="dxa"/>
            <w:tcBorders>
              <w:top w:val="single" w:sz="4" w:space="0" w:color="00000A"/>
            </w:tcBorders>
            <w:shd w:color="auto" w:fill="FFFFFF" w:val="clear"/>
            <w:vAlign w:val="center"/>
          </w:tcPr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  <w:t>56734,132</w:t>
            </w:r>
          </w:p>
        </w:tc>
        <w:tc>
          <w:tcPr>
            <w:tcW w:w="1204" w:type="dxa"/>
            <w:tcBorders>
              <w:top w:val="single" w:sz="4" w:space="0" w:color="00000A"/>
            </w:tcBorders>
            <w:shd w:color="auto" w:fill="FFFFFF" w:val="clear"/>
            <w:vAlign w:val="center"/>
          </w:tcPr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  <w:t>72238,82056</w:t>
            </w:r>
          </w:p>
        </w:tc>
        <w:tc>
          <w:tcPr>
            <w:tcW w:w="1205" w:type="dxa"/>
            <w:gridSpan w:val="2"/>
            <w:tcBorders>
              <w:top w:val="single" w:sz="4" w:space="0" w:color="00000A"/>
            </w:tcBorders>
            <w:shd w:color="auto" w:fill="FFFFFF" w:val="clear"/>
            <w:vAlign w:val="center"/>
          </w:tcPr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  <w:t>9153,188104</w:t>
            </w:r>
          </w:p>
        </w:tc>
        <w:tc>
          <w:tcPr>
            <w:tcW w:w="910" w:type="dxa"/>
            <w:gridSpan w:val="2"/>
            <w:tcBorders>
              <w:top w:val="single" w:sz="4" w:space="0" w:color="00000A"/>
            </w:tcBorders>
            <w:shd w:color="auto" w:fill="FFFFFF" w:val="clear"/>
            <w:vAlign w:val="center"/>
          </w:tcPr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  <w:t>201719,4</w:t>
            </w:r>
          </w:p>
        </w:tc>
        <w:tc>
          <w:tcPr>
            <w:tcW w:w="612" w:type="dxa"/>
            <w:gridSpan w:val="3"/>
            <w:tcBorders>
              <w:top w:val="single" w:sz="4" w:space="0" w:color="00000A"/>
            </w:tcBorders>
            <w:shd w:color="auto" w:fill="auto" w:val="clear"/>
          </w:tcPr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</w:r>
          </w:p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  <w:t>60,61</w:t>
            </w:r>
          </w:p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</w:r>
          </w:p>
        </w:tc>
        <w:tc>
          <w:tcPr>
            <w:tcW w:w="157" w:type="dxa"/>
            <w:tcBorders>
              <w:top w:val="single" w:sz="4" w:space="0" w:color="00000A"/>
            </w:tcBorders>
            <w:shd w:color="auto" w:fill="auto" w:val="clear"/>
          </w:tcPr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</w:r>
          </w:p>
        </w:tc>
      </w:tr>
      <w:tr>
        <w:trPr>
          <w:trHeight w:val="109" w:hRule="atLeast"/>
        </w:trPr>
        <w:tc>
          <w:tcPr>
            <w:tcW w:w="2384" w:type="dxa"/>
            <w:tcBorders/>
            <w:shd w:color="auto" w:fill="FFFFFF" w:val="clear"/>
            <w:vAlign w:val="center"/>
          </w:tcPr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  <w:t>Média Antropização (Mesohemerobia)</w:t>
            </w:r>
          </w:p>
        </w:tc>
        <w:tc>
          <w:tcPr>
            <w:tcW w:w="804" w:type="dxa"/>
            <w:tcBorders/>
            <w:shd w:color="auto" w:fill="FFFFFF" w:val="clear"/>
            <w:vAlign w:val="center"/>
          </w:tcPr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  <w:t>48757,1</w:t>
            </w:r>
          </w:p>
        </w:tc>
        <w:tc>
          <w:tcPr>
            <w:tcW w:w="804" w:type="dxa"/>
            <w:tcBorders/>
            <w:shd w:color="auto" w:fill="FFFFFF" w:val="clear"/>
            <w:vAlign w:val="center"/>
          </w:tcPr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  <w:t>45623,6</w:t>
            </w:r>
          </w:p>
        </w:tc>
        <w:tc>
          <w:tcPr>
            <w:tcW w:w="1142" w:type="dxa"/>
            <w:tcBorders/>
            <w:shd w:color="auto" w:fill="FFFFFF" w:val="clear"/>
            <w:vAlign w:val="center"/>
          </w:tcPr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  <w:t>23652,027</w:t>
            </w:r>
          </w:p>
        </w:tc>
        <w:tc>
          <w:tcPr>
            <w:tcW w:w="1204" w:type="dxa"/>
            <w:tcBorders/>
            <w:shd w:color="auto" w:fill="FFFFFF" w:val="clear"/>
            <w:vAlign w:val="center"/>
          </w:tcPr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  <w:t>16383,62578</w:t>
            </w:r>
          </w:p>
        </w:tc>
        <w:tc>
          <w:tcPr>
            <w:tcW w:w="1205" w:type="dxa"/>
            <w:gridSpan w:val="2"/>
            <w:tcBorders/>
            <w:shd w:color="auto" w:fill="FFFFFF" w:val="clear"/>
            <w:vAlign w:val="center"/>
          </w:tcPr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  <w:t>90281,37938</w:t>
            </w:r>
          </w:p>
        </w:tc>
        <w:tc>
          <w:tcPr>
            <w:tcW w:w="910" w:type="dxa"/>
            <w:gridSpan w:val="2"/>
            <w:tcBorders/>
            <w:shd w:color="auto" w:fill="FFFFFF" w:val="clear"/>
            <w:vAlign w:val="center"/>
          </w:tcPr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  <w:t>224697,7</w:t>
            </w:r>
          </w:p>
        </w:tc>
        <w:tc>
          <w:tcPr>
            <w:tcW w:w="612" w:type="dxa"/>
            <w:gridSpan w:val="3"/>
            <w:tcBorders/>
            <w:shd w:color="auto" w:fill="auto" w:val="clear"/>
          </w:tcPr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</w:r>
          </w:p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  <w:t>30,76</w:t>
              <w:tab/>
            </w:r>
          </w:p>
        </w:tc>
        <w:tc>
          <w:tcPr>
            <w:tcW w:w="157" w:type="dxa"/>
            <w:tcBorders/>
            <w:shd w:color="auto" w:fill="auto" w:val="clear"/>
          </w:tcPr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</w:r>
          </w:p>
        </w:tc>
      </w:tr>
      <w:tr>
        <w:trPr>
          <w:trHeight w:val="109" w:hRule="atLeast"/>
        </w:trPr>
        <w:tc>
          <w:tcPr>
            <w:tcW w:w="2384" w:type="dxa"/>
            <w:tcBorders/>
            <w:shd w:color="auto" w:fill="FFFFFF" w:val="clear"/>
            <w:vAlign w:val="center"/>
          </w:tcPr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  <w:t>Alta Antropização (Euhemerobia)</w:t>
            </w:r>
          </w:p>
        </w:tc>
        <w:tc>
          <w:tcPr>
            <w:tcW w:w="804" w:type="dxa"/>
            <w:tcBorders/>
            <w:shd w:color="auto" w:fill="FFFFFF" w:val="clear"/>
            <w:vAlign w:val="center"/>
          </w:tcPr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  <w:t>4433,01</w:t>
            </w:r>
          </w:p>
        </w:tc>
        <w:tc>
          <w:tcPr>
            <w:tcW w:w="804" w:type="dxa"/>
            <w:tcBorders/>
            <w:shd w:color="auto" w:fill="FFFFFF" w:val="clear"/>
            <w:vAlign w:val="center"/>
          </w:tcPr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  <w:t>2347,71</w:t>
            </w:r>
          </w:p>
        </w:tc>
        <w:tc>
          <w:tcPr>
            <w:tcW w:w="1142" w:type="dxa"/>
            <w:tcBorders/>
            <w:shd w:color="auto" w:fill="FFFFFF" w:val="clear"/>
            <w:vAlign w:val="center"/>
          </w:tcPr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  <w:t>1016,2418</w:t>
            </w:r>
          </w:p>
        </w:tc>
        <w:tc>
          <w:tcPr>
            <w:tcW w:w="1204" w:type="dxa"/>
            <w:tcBorders/>
            <w:shd w:color="auto" w:fill="FFFFFF" w:val="clear"/>
            <w:vAlign w:val="center"/>
          </w:tcPr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  <w:t>2447,424585</w:t>
            </w:r>
          </w:p>
        </w:tc>
        <w:tc>
          <w:tcPr>
            <w:tcW w:w="1205" w:type="dxa"/>
            <w:gridSpan w:val="2"/>
            <w:tcBorders/>
            <w:shd w:color="auto" w:fill="FFFFFF" w:val="clear"/>
            <w:vAlign w:val="center"/>
          </w:tcPr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  <w:t>1161,030223</w:t>
            </w:r>
          </w:p>
        </w:tc>
        <w:tc>
          <w:tcPr>
            <w:tcW w:w="910" w:type="dxa"/>
            <w:gridSpan w:val="2"/>
            <w:tcBorders/>
            <w:shd w:color="auto" w:fill="FFFFFF" w:val="clear"/>
            <w:vAlign w:val="center"/>
          </w:tcPr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  <w:t>11405,42</w:t>
            </w:r>
          </w:p>
        </w:tc>
        <w:tc>
          <w:tcPr>
            <w:tcW w:w="602" w:type="dxa"/>
            <w:tcBorders/>
            <w:shd w:color="auto" w:fill="auto" w:val="clear"/>
          </w:tcPr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</w:r>
          </w:p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  <w:t>2,44</w:t>
            </w:r>
          </w:p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</w:r>
          </w:p>
        </w:tc>
        <w:tc>
          <w:tcPr>
            <w:tcW w:w="167" w:type="dxa"/>
            <w:gridSpan w:val="3"/>
            <w:tcBorders/>
            <w:shd w:color="auto" w:fill="auto" w:val="clear"/>
          </w:tcPr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</w:r>
          </w:p>
        </w:tc>
      </w:tr>
      <w:tr>
        <w:trPr>
          <w:trHeight w:val="109" w:hRule="atLeast"/>
        </w:trPr>
        <w:tc>
          <w:tcPr>
            <w:tcW w:w="2384" w:type="dxa"/>
            <w:tcBorders>
              <w:bottom w:val="single" w:sz="4" w:space="0" w:color="00000A"/>
              <w:insideH w:val="single" w:sz="4" w:space="0" w:color="00000A"/>
            </w:tcBorders>
            <w:shd w:color="auto" w:fill="FFFFFF" w:val="clear"/>
            <w:vAlign w:val="center"/>
          </w:tcPr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  <w:t>Sem Classificação</w:t>
            </w:r>
          </w:p>
        </w:tc>
        <w:tc>
          <w:tcPr>
            <w:tcW w:w="804" w:type="dxa"/>
            <w:tcBorders>
              <w:bottom w:val="single" w:sz="4" w:space="0" w:color="00000A"/>
              <w:insideH w:val="single" w:sz="4" w:space="0" w:color="00000A"/>
            </w:tcBorders>
            <w:shd w:color="auto" w:fill="FFFFFF" w:val="clear"/>
            <w:vAlign w:val="center"/>
          </w:tcPr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  <w:t>25035,5</w:t>
            </w:r>
          </w:p>
        </w:tc>
        <w:tc>
          <w:tcPr>
            <w:tcW w:w="804" w:type="dxa"/>
            <w:tcBorders>
              <w:bottom w:val="single" w:sz="4" w:space="0" w:color="00000A"/>
              <w:insideH w:val="single" w:sz="4" w:space="0" w:color="00000A"/>
            </w:tcBorders>
            <w:shd w:color="auto" w:fill="FFFFFF" w:val="clear"/>
            <w:vAlign w:val="center"/>
          </w:tcPr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  <w:t>2145,76</w:t>
            </w:r>
          </w:p>
        </w:tc>
        <w:tc>
          <w:tcPr>
            <w:tcW w:w="1142" w:type="dxa"/>
            <w:tcBorders>
              <w:bottom w:val="single" w:sz="4" w:space="0" w:color="00000A"/>
              <w:insideH w:val="single" w:sz="4" w:space="0" w:color="00000A"/>
            </w:tcBorders>
            <w:shd w:color="auto" w:fill="FFFFFF" w:val="clear"/>
            <w:vAlign w:val="center"/>
          </w:tcPr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  <w:t>1732,1954</w:t>
            </w:r>
          </w:p>
        </w:tc>
        <w:tc>
          <w:tcPr>
            <w:tcW w:w="1204" w:type="dxa"/>
            <w:tcBorders>
              <w:bottom w:val="single" w:sz="4" w:space="0" w:color="00000A"/>
              <w:insideH w:val="single" w:sz="4" w:space="0" w:color="00000A"/>
            </w:tcBorders>
            <w:shd w:color="auto" w:fill="FFFFFF" w:val="clear"/>
            <w:vAlign w:val="center"/>
          </w:tcPr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  <w:t>0,999354</w:t>
            </w:r>
          </w:p>
        </w:tc>
        <w:tc>
          <w:tcPr>
            <w:tcW w:w="1205" w:type="dxa"/>
            <w:gridSpan w:val="2"/>
            <w:tcBorders>
              <w:bottom w:val="single" w:sz="4" w:space="0" w:color="00000A"/>
              <w:insideH w:val="single" w:sz="4" w:space="0" w:color="00000A"/>
            </w:tcBorders>
            <w:shd w:color="auto" w:fill="FFFFFF" w:val="clear"/>
            <w:vAlign w:val="center"/>
          </w:tcPr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  <w:t>3,60356</w:t>
            </w:r>
          </w:p>
        </w:tc>
        <w:tc>
          <w:tcPr>
            <w:tcW w:w="910" w:type="dxa"/>
            <w:gridSpan w:val="2"/>
            <w:tcBorders>
              <w:bottom w:val="single" w:sz="4" w:space="0" w:color="00000A"/>
              <w:insideH w:val="single" w:sz="4" w:space="0" w:color="00000A"/>
            </w:tcBorders>
            <w:shd w:color="auto" w:fill="FFFFFF" w:val="clear"/>
            <w:vAlign w:val="center"/>
          </w:tcPr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  <w:t>28918,02</w:t>
            </w:r>
          </w:p>
        </w:tc>
        <w:tc>
          <w:tcPr>
            <w:tcW w:w="612" w:type="dxa"/>
            <w:gridSpan w:val="3"/>
            <w:tcBorders>
              <w:bottom w:val="single" w:sz="4" w:space="0" w:color="00000A"/>
              <w:insideH w:val="single" w:sz="4" w:space="0" w:color="00000A"/>
            </w:tcBorders>
            <w:shd w:color="auto" w:fill="auto" w:val="clear"/>
          </w:tcPr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  <w:t>6,19</w:t>
            </w:r>
          </w:p>
        </w:tc>
        <w:tc>
          <w:tcPr>
            <w:tcW w:w="157" w:type="dxa"/>
            <w:tcBorders>
              <w:bottom w:val="single" w:sz="4" w:space="0" w:color="00000A"/>
              <w:insideH w:val="single" w:sz="4" w:space="0" w:color="00000A"/>
            </w:tcBorders>
            <w:shd w:color="auto" w:fill="auto" w:val="clear"/>
          </w:tcPr>
          <w:p>
            <w:pPr>
              <w:pStyle w:val="GFMapa"/>
              <w:rPr>
                <w:rFonts w:eastAsia="Times New Roman"/>
                <w:color w:val="000000"/>
                <w:lang w:eastAsia="pt-BR"/>
              </w:rPr>
            </w:pPr>
            <w:r>
              <w:rPr>
                <w:rFonts w:eastAsia="Times New Roman"/>
                <w:color w:val="000000"/>
                <w:lang w:eastAsia="pt-BR"/>
              </w:rPr>
            </w:r>
          </w:p>
        </w:tc>
      </w:tr>
    </w:tbl>
    <w:p>
      <w:pPr>
        <w:pStyle w:val="GFMapa"/>
        <w:rPr>
          <w:lang w:val="pt-PT"/>
        </w:rPr>
      </w:pPr>
      <w:r>
        <w:rPr>
          <w:lang w:val="pt-PT"/>
        </w:rPr>
      </w:r>
    </w:p>
    <w:p>
      <w:pPr>
        <w:pStyle w:val="Normal1"/>
        <w:spacing w:lineRule="auto" w:line="360" w:before="0" w:after="120"/>
        <w:jc w:val="both"/>
        <w:rPr>
          <w:lang w:val="pt-PT"/>
        </w:rPr>
      </w:pPr>
      <w:r>
        <w:rPr>
          <w:lang w:val="pt-PT"/>
        </w:rPr>
        <w:t>Um fator que dificultou a ação antrópica nas partes mais altas foi a restrição ao uso da terra neste ponto, quando criou-se o parque, regulamentado pelo Decreto n. 70.355, de Abril de 1972 (BRASIL, 2016) se tornou proibidas as atividades mineradoras e restringiu as atividades agropastoris (LEMOS e SILVA, 2015). É importante ressaltar que, apesar da existência de alta proporção de áreas com baixo grau de antropização, elas se mantêm, principalmente, por causa das altas altitudes delimitadas por encostas escarpadas.</w:t>
      </w:r>
    </w:p>
    <w:p>
      <w:pPr>
        <w:pStyle w:val="Normal1"/>
        <w:spacing w:lineRule="auto" w:line="360" w:before="0" w:after="120"/>
        <w:jc w:val="both"/>
        <w:rPr>
          <w:lang w:val="pt-PT"/>
        </w:rPr>
      </w:pPr>
      <w:r>
        <w:rPr>
          <w:lang w:val="pt-PT"/>
        </w:rPr>
        <w:t>As áreas com menores valores altimétricos são as mais ocupadas, já que destas, a maior parte está na área não regulamentada (IBAMA, 1989; 1993; BRASIL, 2005). A baixa declividade, os acessos terrestres e os corpos d’água, facilitam a ocupação e principalmente a produção agrícola (BRASIL, 2005; IBAMA, 2005; LEMOS e SILVA, 2015).</w:t>
      </w:r>
    </w:p>
    <w:p>
      <w:pPr>
        <w:pStyle w:val="Normal1"/>
        <w:spacing w:lineRule="auto" w:line="360" w:before="0" w:after="120"/>
        <w:jc w:val="both"/>
        <w:rPr>
          <w:lang w:val="pt-PT"/>
        </w:rPr>
      </w:pPr>
      <w:r>
        <w:rPr>
          <w:lang w:val="pt-PT"/>
        </w:rPr>
        <w:t>Outro fator importante a ser destacado, são as queimadas frequentes, fragiliza o solo e põe em risco todo o ecossistema do parque (FERNANDES E REGO, 2010). Por outro lado, nas partes mais elevadas o fogo é mais contido devido a restrição para a produção agrícola e a utilização do fogo controlado, que permite que o fogo acidental ou criminoso não se espalhe facilmente nas áreas protegidas (IBAMA, 2005).</w:t>
      </w:r>
    </w:p>
    <w:p>
      <w:pPr>
        <w:pStyle w:val="Normal1"/>
        <w:spacing w:lineRule="auto" w:line="360" w:before="0" w:after="120"/>
        <w:jc w:val="both"/>
        <w:rPr>
          <w:lang w:val="pt-PT"/>
        </w:rPr>
      </w:pPr>
      <w:r>
        <w:rPr>
          <w:lang w:val="pt-PT"/>
        </w:rPr>
        <w:t>De acordo com pesquisas feitas pelo IBAMA/ICMBio, quanto ao uso e à ocupação da terra ao entorno e dentro do próprio Chapadão da Babilônia, 56% das áreas estão ocupadas com pastagens (distribuídos de forma equivalente entre as nativas e as formadas, 28%, respectivamente), 22% com agricultura e 22% com matas/reservas/áreas não utilizadas/áreas não aproveitáveis (</w:t>
      </w:r>
      <w:r>
        <w:rPr>
          <w:b/>
          <w:lang w:val="pt-PT"/>
        </w:rPr>
        <w:t>Figura 7</w:t>
      </w:r>
      <w:r>
        <w:rPr>
          <w:lang w:val="pt-PT"/>
        </w:rPr>
        <w:t>) (BRASIL, 2005; IBAMA, 2005; SANTOS e MACHADO, 2015). Estes valores sugerem que outro fator possa ser causador da antropização da área, a invasão biológica (PIVELLO, 1999).</w:t>
      </w:r>
    </w:p>
    <w:p>
      <w:pPr>
        <w:pStyle w:val="GFMapa"/>
        <w:rPr/>
      </w:pPr>
      <w:r>
        <w:rPr/>
        <w:drawing>
          <wp:inline distT="0" distB="0" distL="0" distR="0">
            <wp:extent cx="5400675" cy="3409950"/>
            <wp:effectExtent l="0" t="0" r="0" b="0"/>
            <wp:docPr id="7" name="Figura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Figura6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340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GFMapa"/>
        <w:rPr>
          <w:lang w:val="pt-PT"/>
        </w:rPr>
      </w:pPr>
      <w:r>
        <w:rPr>
          <w:lang w:val="pt-PT"/>
        </w:rPr>
        <w:t>Figura 7. Mapa da cobertura vegetal e uso do solo (SANTOS e MACHADO, 2015).</w:t>
      </w:r>
    </w:p>
    <w:p>
      <w:pPr>
        <w:pStyle w:val="Ttulo1"/>
        <w:numPr>
          <w:ilvl w:val="0"/>
          <w:numId w:val="1"/>
        </w:numPr>
        <w:rPr>
          <w:lang w:val="pt-PT"/>
        </w:rPr>
      </w:pPr>
      <w:r>
        <w:rPr>
          <w:lang w:val="pt-PT"/>
        </w:rPr>
        <w:t>CONSIDERAÇÕES</w:t>
      </w:r>
      <w:r>
        <w:rPr>
          <w:b w:val="false"/>
          <w:sz w:val="22"/>
          <w:szCs w:val="22"/>
          <w:lang w:val="pt-PT"/>
        </w:rPr>
        <w:t xml:space="preserve"> </w:t>
      </w:r>
      <w:r>
        <w:rPr>
          <w:lang w:val="pt-PT"/>
        </w:rPr>
        <w:t>FINAIS</w:t>
      </w:r>
    </w:p>
    <w:p>
      <w:pPr>
        <w:pStyle w:val="Normal1"/>
        <w:spacing w:lineRule="auto" w:line="360" w:before="0" w:after="120"/>
        <w:jc w:val="both"/>
        <w:rPr>
          <w:lang w:val="pt-PT"/>
        </w:rPr>
      </w:pPr>
      <w:r>
        <w:rPr>
          <w:lang w:val="pt-PT"/>
        </w:rPr>
        <w:t xml:space="preserve">A antropização, também chamadas de hemerobia, vem gerando graves problemas de ordem ambiental, pois elas forçam os ecossistemas a se esgotarem. Espaços ocupados pelo homem também precisam ser mais bem aproveitados, já que este sobrecarrega e atrapalha a manutenção da diversidade biológica local. </w:t>
      </w:r>
    </w:p>
    <w:p>
      <w:pPr>
        <w:pStyle w:val="Normal1"/>
        <w:spacing w:lineRule="auto" w:line="360" w:before="0" w:after="120"/>
        <w:jc w:val="both"/>
        <w:rPr>
          <w:lang w:val="pt-PT"/>
        </w:rPr>
      </w:pPr>
      <w:r>
        <w:rPr>
          <w:lang w:val="pt-PT"/>
        </w:rPr>
        <w:t>As unidades de conservação tem um papel fundamental na manutenção dos espaços geográficos, deixando-os menos antropizados possível. Foi observado, que onde houve a regulamentação da área, houve uma maior preservação e conservação da biodiversidade, consequentemente o processo antrópico foi menor. Nas áreas ainda não regulamentadas do parque notamos intenso uso do solo gerando um maior grau de antropização.</w:t>
      </w:r>
    </w:p>
    <w:p>
      <w:pPr>
        <w:pStyle w:val="Normal1"/>
        <w:spacing w:lineRule="auto" w:line="360" w:before="0" w:after="120"/>
        <w:jc w:val="both"/>
        <w:rPr>
          <w:lang w:val="pt-PT"/>
        </w:rPr>
      </w:pPr>
      <w:r>
        <w:rPr>
          <w:lang w:val="pt-PT"/>
        </w:rPr>
        <w:t>As áreas com maior altitude coincidentemente são as mais preservadas (com menor grau de antropização), pois ali está a área regulamentada do parque, portanto é a mais protegida. A lei que regulamenta a criação de parques nacionais torna-se ainda mais importante quando se observa os graus de antropização.</w:t>
      </w:r>
    </w:p>
    <w:p>
      <w:pPr>
        <w:pStyle w:val="Normal1"/>
        <w:spacing w:lineRule="auto" w:line="360" w:before="0" w:after="120"/>
        <w:jc w:val="both"/>
        <w:rPr>
          <w:lang w:val="pt-PT"/>
        </w:rPr>
      </w:pPr>
      <w:r>
        <w:rPr>
          <w:lang w:val="pt-PT"/>
        </w:rPr>
        <w:t xml:space="preserve">A utilização do sensoriamento remoto foi uma ferramenta fundamental para a realização deste trabalho, pois auxiliou na observação das áreas mais ocupadas/antropizadas. Ao comparar os resultados pode-se entender que, este poderá fomentar e desenvolver novas tecnologias ambientais que facilitem o processo de preservação e conservação de uma área de extrema relevância para o Brasil, pois ali nasce o rio com maior valor social e econômico do pais (rio são francisco).  </w:t>
      </w:r>
    </w:p>
    <w:p>
      <w:pPr>
        <w:pStyle w:val="Normal1"/>
        <w:spacing w:lineRule="auto" w:line="360" w:before="0" w:after="120"/>
        <w:jc w:val="both"/>
        <w:rPr>
          <w:lang w:val="pt-PT"/>
        </w:rPr>
      </w:pPr>
      <w:r>
        <w:rPr>
          <w:lang w:val="pt-PT"/>
        </w:rPr>
        <w:t>Enquanto ainda não se regularize as áreas do Chapadão da Babilônia, o ideal é que se desenvolvam estratégias sustentáveis e de educação ambiental que diminuam os impactos ambientais causados pelo intenso uso da terra dentro e no entorno do Parque Nacional da Serra da Canastra.</w:t>
      </w:r>
    </w:p>
    <w:p>
      <w:pPr>
        <w:pStyle w:val="Ttulo1"/>
        <w:numPr>
          <w:ilvl w:val="0"/>
          <w:numId w:val="1"/>
        </w:numPr>
        <w:rPr>
          <w:lang w:val="pt-PT"/>
        </w:rPr>
      </w:pPr>
      <w:r>
        <w:rPr>
          <w:lang w:val="pt-PT"/>
        </w:rPr>
        <w:t>Agradecimentos</w:t>
      </w:r>
    </w:p>
    <w:p>
      <w:pPr>
        <w:pStyle w:val="Normal1"/>
        <w:spacing w:lineRule="auto" w:line="360" w:before="0" w:after="120"/>
        <w:jc w:val="both"/>
        <w:rPr>
          <w:lang w:val="pt-PT"/>
        </w:rPr>
      </w:pPr>
      <w:r>
        <w:rPr>
          <w:lang w:val="pt-PT"/>
        </w:rPr>
        <w:t>À Amanda Alves dos Santos do Instituto Terra Brasilis, pela ajuda no geoprocessamento e dicas fundamentais.</w:t>
      </w:r>
    </w:p>
    <w:p>
      <w:pPr>
        <w:pStyle w:val="Ttulo1"/>
        <w:numPr>
          <w:ilvl w:val="0"/>
          <w:numId w:val="1"/>
        </w:numPr>
        <w:rPr>
          <w:lang w:val="pt-PT"/>
        </w:rPr>
      </w:pPr>
      <w:r>
        <w:rPr>
          <w:lang w:val="pt-PT"/>
        </w:rPr>
        <w:t>REFERÊNCIAS</w:t>
      </w:r>
      <w:r>
        <w:rPr>
          <w:b w:val="false"/>
          <w:sz w:val="22"/>
          <w:szCs w:val="22"/>
          <w:lang w:val="pt-PT"/>
        </w:rPr>
        <w:t xml:space="preserve"> </w:t>
      </w:r>
      <w:r>
        <w:rPr>
          <w:lang w:val="pt-PT"/>
        </w:rPr>
        <w:t>BIBLIOGRÁFICAS</w:t>
      </w:r>
    </w:p>
    <w:p>
      <w:pPr>
        <w:pStyle w:val="Normal1"/>
        <w:spacing w:before="0" w:after="120"/>
        <w:jc w:val="both"/>
        <w:rPr>
          <w:sz w:val="20"/>
          <w:lang w:val="pt-PT"/>
        </w:rPr>
      </w:pPr>
      <w:r>
        <w:rPr>
          <w:sz w:val="20"/>
          <w:lang w:val="pt-PT"/>
        </w:rPr>
        <w:t>BRASIL. Decreto n. 70.355, de Abril de 1972. Cria o Parque Nacional da Serra da Canastra, no Estado de Minas Gerais, com os limites que especifica, e dá outras providências. Disponível em: &lt;http://legis.senado.gov.br/legislacao/ListaPublicacoes.action?id=121097&gt;. Acesso em 21/06/2016</w:t>
      </w:r>
    </w:p>
    <w:p>
      <w:pPr>
        <w:pStyle w:val="Normal1"/>
        <w:spacing w:before="0" w:after="120"/>
        <w:jc w:val="both"/>
        <w:rPr/>
      </w:pPr>
      <w:r>
        <w:rPr/>
      </w:r>
    </w:p>
    <w:p>
      <w:pPr>
        <w:pStyle w:val="Normal1"/>
        <w:spacing w:before="0" w:after="120"/>
        <w:jc w:val="both"/>
        <w:rPr>
          <w:sz w:val="20"/>
          <w:lang w:val="pt-PT"/>
        </w:rPr>
      </w:pPr>
      <w:r>
        <w:rPr>
          <w:sz w:val="20"/>
          <w:lang w:val="pt-PT"/>
        </w:rPr>
        <w:t>BRASIL</w:t>
      </w:r>
      <w:r>
        <w:rPr>
          <w:b/>
          <w:sz w:val="20"/>
          <w:lang w:val="pt-PT"/>
        </w:rPr>
        <w:t>. Plano de Manejo</w:t>
      </w:r>
      <w:r>
        <w:rPr>
          <w:sz w:val="20"/>
          <w:lang w:val="pt-PT"/>
        </w:rPr>
        <w:t xml:space="preserve">: Parque Nacional da Serra da Canastra. Brasília: </w:t>
      </w:r>
    </w:p>
    <w:p>
      <w:pPr>
        <w:pStyle w:val="Normal1"/>
        <w:spacing w:before="0" w:after="120"/>
        <w:jc w:val="both"/>
        <w:rPr>
          <w:sz w:val="20"/>
          <w:lang w:val="pt-PT"/>
        </w:rPr>
      </w:pPr>
      <w:r>
        <w:rPr>
          <w:sz w:val="20"/>
          <w:lang w:val="pt-PT"/>
        </w:rPr>
        <w:t>MMA/IBAMA, 2005.</w:t>
      </w:r>
    </w:p>
    <w:p>
      <w:pPr>
        <w:pStyle w:val="Normal1"/>
        <w:spacing w:before="0" w:after="120"/>
        <w:jc w:val="both"/>
        <w:rPr/>
      </w:pPr>
      <w:r>
        <w:rPr/>
      </w:r>
    </w:p>
    <w:p>
      <w:pPr>
        <w:pStyle w:val="Normal1"/>
        <w:spacing w:before="0" w:after="120"/>
        <w:jc w:val="both"/>
        <w:rPr>
          <w:sz w:val="20"/>
          <w:lang w:val="pt-PT"/>
        </w:rPr>
      </w:pPr>
      <w:r>
        <w:rPr>
          <w:sz w:val="20"/>
          <w:lang w:val="pt-PT"/>
        </w:rPr>
        <w:t xml:space="preserve">DE FILIPPO, D.C. </w:t>
      </w:r>
      <w:r>
        <w:rPr>
          <w:b/>
          <w:sz w:val="20"/>
          <w:lang w:val="pt-PT"/>
        </w:rPr>
        <w:t>O capim braquiaria (Urochloa Decumbens) na Serra do Cipó, MG</w:t>
      </w:r>
      <w:r>
        <w:rPr>
          <w:sz w:val="20"/>
          <w:lang w:val="pt-PT"/>
        </w:rPr>
        <w:t>: Monitoramento e combate com mobilização comunitaria. Trabalho de Monografia, 2007.</w:t>
      </w:r>
    </w:p>
    <w:p>
      <w:pPr>
        <w:pStyle w:val="Normal1"/>
        <w:spacing w:before="0" w:after="120"/>
        <w:jc w:val="both"/>
        <w:rPr/>
      </w:pPr>
      <w:r>
        <w:rPr/>
      </w:r>
    </w:p>
    <w:p>
      <w:pPr>
        <w:pStyle w:val="Normal1"/>
        <w:spacing w:before="0" w:after="120"/>
        <w:jc w:val="both"/>
        <w:rPr>
          <w:sz w:val="20"/>
          <w:lang w:val="pt-PT"/>
        </w:rPr>
      </w:pPr>
      <w:r>
        <w:rPr>
          <w:sz w:val="20"/>
          <w:lang w:val="pt-PT"/>
        </w:rPr>
        <w:t xml:space="preserve">EITEN, G. </w:t>
      </w:r>
      <w:r>
        <w:rPr>
          <w:b/>
          <w:sz w:val="20"/>
          <w:lang w:val="pt-PT"/>
        </w:rPr>
        <w:t>Classificação da vegetação do Brasil</w:t>
      </w:r>
      <w:r>
        <w:rPr>
          <w:sz w:val="20"/>
          <w:lang w:val="pt-PT"/>
        </w:rPr>
        <w:t>. Brasília. 1983.</w:t>
      </w:r>
    </w:p>
    <w:p>
      <w:pPr>
        <w:pStyle w:val="Normal1"/>
        <w:spacing w:before="0" w:after="120"/>
        <w:jc w:val="both"/>
        <w:rPr/>
      </w:pPr>
      <w:r>
        <w:rPr/>
      </w:r>
    </w:p>
    <w:p>
      <w:pPr>
        <w:pStyle w:val="Normal1"/>
        <w:spacing w:before="0" w:after="120"/>
        <w:jc w:val="both"/>
        <w:rPr>
          <w:sz w:val="20"/>
          <w:lang w:val="pt-PT"/>
        </w:rPr>
      </w:pPr>
      <w:r>
        <w:rPr>
          <w:sz w:val="20"/>
          <w:lang w:val="pt-PT"/>
        </w:rPr>
        <w:t xml:space="preserve">FERNANDES, P. e REGO, F.; Combustíveis e Combustão em Ambiente Florestal In: MOREIRA, F.; CATRY F. X.; SILVA J. S. e REGO F. </w:t>
      </w:r>
      <w:r>
        <w:rPr>
          <w:b/>
          <w:sz w:val="20"/>
          <w:lang w:val="pt-PT"/>
        </w:rPr>
        <w:t>Ecologia do Fogo e Gestão de Áreas Ardidas</w:t>
      </w:r>
      <w:r>
        <w:rPr>
          <w:sz w:val="20"/>
          <w:lang w:val="pt-PT"/>
        </w:rPr>
        <w:t>. Isa Press. Dez 2010. p. 13 – 19</w:t>
      </w:r>
    </w:p>
    <w:p>
      <w:pPr>
        <w:pStyle w:val="Normal1"/>
        <w:spacing w:before="0" w:after="120"/>
        <w:jc w:val="both"/>
        <w:rPr/>
      </w:pPr>
      <w:r>
        <w:rPr/>
      </w:r>
    </w:p>
    <w:p>
      <w:pPr>
        <w:pStyle w:val="Normal1"/>
        <w:spacing w:before="0" w:after="120"/>
        <w:jc w:val="both"/>
        <w:rPr>
          <w:sz w:val="20"/>
          <w:lang w:val="pt-PT"/>
        </w:rPr>
      </w:pPr>
      <w:r>
        <w:rPr>
          <w:sz w:val="20"/>
          <w:lang w:val="pt-PT"/>
        </w:rPr>
        <w:t xml:space="preserve">FIGUEIREDO, D. </w:t>
      </w:r>
      <w:r>
        <w:rPr>
          <w:b/>
          <w:sz w:val="20"/>
          <w:lang w:val="pt-PT"/>
        </w:rPr>
        <w:t>Conceitos Básicos de Sensoriamento Remoto</w:t>
      </w:r>
      <w:r>
        <w:rPr>
          <w:sz w:val="20"/>
          <w:lang w:val="pt-PT"/>
        </w:rPr>
        <w:t>. Setembro de 2005, p.23.</w:t>
      </w:r>
    </w:p>
    <w:p>
      <w:pPr>
        <w:pStyle w:val="Normal1"/>
        <w:spacing w:before="0" w:after="120"/>
        <w:jc w:val="both"/>
        <w:rPr/>
      </w:pPr>
      <w:r>
        <w:rPr/>
      </w:r>
    </w:p>
    <w:p>
      <w:pPr>
        <w:pStyle w:val="Normal1"/>
        <w:spacing w:before="0" w:after="120"/>
        <w:jc w:val="both"/>
        <w:rPr>
          <w:sz w:val="20"/>
          <w:lang w:val="pt-PT"/>
        </w:rPr>
      </w:pPr>
      <w:r>
        <w:rPr>
          <w:sz w:val="20"/>
          <w:lang w:val="pt-PT"/>
        </w:rPr>
        <w:t xml:space="preserve">FLORENZANO, T. G. </w:t>
      </w:r>
      <w:r>
        <w:rPr>
          <w:b/>
          <w:sz w:val="20"/>
          <w:lang w:val="pt-PT"/>
        </w:rPr>
        <w:t>Iniciação em sensoriamento remoto</w:t>
      </w:r>
      <w:r>
        <w:rPr>
          <w:sz w:val="20"/>
          <w:lang w:val="pt-PT"/>
        </w:rPr>
        <w:t>. 2ª ed. São Paulo:</w:t>
      </w:r>
    </w:p>
    <w:p>
      <w:pPr>
        <w:pStyle w:val="Normal1"/>
        <w:spacing w:before="0" w:after="120"/>
        <w:jc w:val="both"/>
        <w:rPr/>
      </w:pPr>
      <w:r>
        <w:rPr/>
      </w:r>
    </w:p>
    <w:p>
      <w:pPr>
        <w:pStyle w:val="Normal1"/>
        <w:spacing w:before="0" w:after="120"/>
        <w:jc w:val="both"/>
        <w:rPr>
          <w:sz w:val="20"/>
          <w:lang w:val="pt-PT"/>
        </w:rPr>
      </w:pPr>
      <w:r>
        <w:rPr>
          <w:sz w:val="20"/>
          <w:lang w:val="pt-PT"/>
        </w:rPr>
        <w:t>FURNAS. Localização espacial do Lago de Furnas. Disponívels em &lt;http://</w:t>
      </w:r>
      <w:r>
        <w:rPr>
          <w:b/>
          <w:sz w:val="20"/>
          <w:lang w:val="pt-PT"/>
        </w:rPr>
        <w:t>www.furnas.com.br</w:t>
      </w:r>
      <w:r>
        <w:rPr>
          <w:sz w:val="20"/>
          <w:lang w:val="pt-PT"/>
        </w:rPr>
        <w:t>/&gt; Acesso em 20/04/2016.</w:t>
      </w:r>
    </w:p>
    <w:p>
      <w:pPr>
        <w:pStyle w:val="Normal1"/>
        <w:spacing w:before="0" w:after="120"/>
        <w:jc w:val="both"/>
        <w:rPr/>
      </w:pPr>
      <w:r>
        <w:rPr/>
      </w:r>
    </w:p>
    <w:p>
      <w:pPr>
        <w:pStyle w:val="Normal1"/>
        <w:spacing w:before="0" w:after="120"/>
        <w:jc w:val="both"/>
        <w:rPr>
          <w:sz w:val="20"/>
          <w:lang w:val="pt-PT"/>
        </w:rPr>
      </w:pPr>
      <w:r>
        <w:rPr>
          <w:sz w:val="20"/>
          <w:lang w:val="pt-PT"/>
        </w:rPr>
        <w:t xml:space="preserve">IBAMA, </w:t>
      </w:r>
      <w:r>
        <w:rPr>
          <w:b/>
          <w:sz w:val="20"/>
          <w:lang w:val="pt-PT"/>
        </w:rPr>
        <w:t>Plano de Prevenção aos Incêndios Florestais do Parque Nacional Da Serra Da Canastra</w:t>
      </w:r>
      <w:r>
        <w:rPr>
          <w:sz w:val="20"/>
          <w:lang w:val="pt-PT"/>
        </w:rPr>
        <w:t>. PREVFOGO - Parque Nacional da Serra da Canastra. São Roque de Minas, MG / Brasil.  Junho  de 2005</w:t>
      </w:r>
    </w:p>
    <w:p>
      <w:pPr>
        <w:pStyle w:val="Normal1"/>
        <w:spacing w:before="0" w:after="120"/>
        <w:jc w:val="both"/>
        <w:rPr/>
      </w:pPr>
      <w:r>
        <w:rPr/>
      </w:r>
    </w:p>
    <w:p>
      <w:pPr>
        <w:pStyle w:val="Normal1"/>
        <w:spacing w:before="0" w:after="120"/>
        <w:jc w:val="both"/>
        <w:rPr>
          <w:sz w:val="20"/>
          <w:lang w:val="pt-PT"/>
        </w:rPr>
      </w:pPr>
      <w:r>
        <w:rPr>
          <w:sz w:val="20"/>
          <w:lang w:val="pt-PT"/>
        </w:rPr>
        <w:t xml:space="preserve">IBAMA. </w:t>
      </w:r>
      <w:r>
        <w:rPr>
          <w:b/>
          <w:sz w:val="20"/>
          <w:lang w:val="pt-PT"/>
        </w:rPr>
        <w:t>Parques Nacionais e Reservas Biológicas</w:t>
      </w:r>
      <w:r>
        <w:rPr>
          <w:sz w:val="20"/>
          <w:lang w:val="pt-PT"/>
        </w:rPr>
        <w:t>. Unidades de conservação do Brasil, Instituto Brasileiro do Meio Ambiente e Recursos Naturais Renováveis. Volume 1 Brasília, 182p 1989.</w:t>
      </w:r>
    </w:p>
    <w:p>
      <w:pPr>
        <w:pStyle w:val="Normal1"/>
        <w:spacing w:before="0" w:after="120"/>
        <w:jc w:val="both"/>
        <w:rPr/>
      </w:pPr>
      <w:r>
        <w:rPr/>
      </w:r>
    </w:p>
    <w:p>
      <w:pPr>
        <w:pStyle w:val="Normal1"/>
        <w:spacing w:before="0" w:after="120"/>
        <w:jc w:val="both"/>
        <w:rPr>
          <w:sz w:val="20"/>
          <w:lang w:val="pt-PT"/>
        </w:rPr>
      </w:pPr>
      <w:r>
        <w:rPr>
          <w:sz w:val="20"/>
          <w:lang w:val="pt-PT"/>
        </w:rPr>
        <w:t xml:space="preserve">IBAMA. </w:t>
      </w:r>
      <w:r>
        <w:rPr>
          <w:b/>
          <w:sz w:val="20"/>
          <w:lang w:val="pt-PT"/>
        </w:rPr>
        <w:t>Plano de Ação Emergencial do Parque Nacional da Serra da Canastra</w:t>
      </w:r>
      <w:r>
        <w:rPr>
          <w:sz w:val="20"/>
          <w:lang w:val="pt-PT"/>
        </w:rPr>
        <w:t>. Relatório técnico. Brasilia 66p 1993.</w:t>
      </w:r>
    </w:p>
    <w:p>
      <w:pPr>
        <w:pStyle w:val="Normal1"/>
        <w:spacing w:before="0" w:after="120"/>
        <w:jc w:val="both"/>
        <w:rPr/>
      </w:pPr>
      <w:r>
        <w:rPr/>
      </w:r>
    </w:p>
    <w:p>
      <w:pPr>
        <w:pStyle w:val="Normal1"/>
        <w:spacing w:before="0" w:after="120"/>
        <w:jc w:val="both"/>
        <w:rPr>
          <w:sz w:val="20"/>
          <w:lang w:val="pt-PT"/>
        </w:rPr>
      </w:pPr>
      <w:r>
        <w:rPr>
          <w:sz w:val="20"/>
          <w:lang w:val="pt-PT"/>
        </w:rPr>
        <w:t xml:space="preserve">IBGE. </w:t>
      </w:r>
      <w:r>
        <w:rPr>
          <w:b/>
          <w:sz w:val="20"/>
          <w:lang w:val="pt-PT"/>
        </w:rPr>
        <w:t>Institudo Brasileiro de Geografia e Estatística</w:t>
      </w:r>
      <w:r>
        <w:rPr>
          <w:sz w:val="20"/>
          <w:lang w:val="pt-PT"/>
        </w:rPr>
        <w:t>. Disponível em &lt;http://www.ibge.gov.br/&gt;. Acesso em 12/06/2016.</w:t>
      </w:r>
    </w:p>
    <w:p>
      <w:pPr>
        <w:pStyle w:val="Normal1"/>
        <w:spacing w:before="0" w:after="120"/>
        <w:jc w:val="both"/>
        <w:rPr/>
      </w:pPr>
      <w:r>
        <w:rPr/>
      </w:r>
    </w:p>
    <w:p>
      <w:pPr>
        <w:pStyle w:val="Normal1"/>
        <w:spacing w:before="0" w:after="120"/>
        <w:jc w:val="both"/>
        <w:rPr>
          <w:sz w:val="20"/>
          <w:lang w:val="pt-PT"/>
        </w:rPr>
      </w:pPr>
      <w:r>
        <w:rPr>
          <w:sz w:val="20"/>
          <w:lang w:val="pt-PT"/>
        </w:rPr>
        <w:t xml:space="preserve">INPE. </w:t>
      </w:r>
      <w:r>
        <w:rPr>
          <w:b/>
          <w:sz w:val="20"/>
          <w:lang w:val="pt-PT"/>
        </w:rPr>
        <w:t>Instituto de Pesquisas Espaciais</w:t>
      </w:r>
      <w:r>
        <w:rPr>
          <w:sz w:val="20"/>
          <w:lang w:val="pt-PT"/>
        </w:rPr>
        <w:t>. Imagem capturada no dia 16/03/2016. Disponível em &lt;http://www.inpe.br/&gt; Acesso em 08/04/2016.</w:t>
      </w:r>
    </w:p>
    <w:p>
      <w:pPr>
        <w:pStyle w:val="Normal1"/>
        <w:spacing w:before="0" w:after="120"/>
        <w:jc w:val="both"/>
        <w:rPr/>
      </w:pPr>
      <w:r>
        <w:rPr/>
      </w:r>
    </w:p>
    <w:p>
      <w:pPr>
        <w:pStyle w:val="Normal1"/>
        <w:spacing w:before="0" w:after="120"/>
        <w:jc w:val="both"/>
        <w:rPr>
          <w:sz w:val="20"/>
          <w:lang w:val="pt-PT"/>
        </w:rPr>
      </w:pPr>
      <w:r>
        <w:rPr>
          <w:sz w:val="20"/>
          <w:lang w:val="pt-PT"/>
        </w:rPr>
        <w:t xml:space="preserve">JALAS, J. </w:t>
      </w:r>
      <w:r>
        <w:rPr>
          <w:b/>
          <w:sz w:val="20"/>
          <w:lang w:val="pt-PT"/>
        </w:rPr>
        <w:t>Hemerokorit ja hemerobit</w:t>
      </w:r>
      <w:r>
        <w:rPr>
          <w:sz w:val="20"/>
          <w:lang w:val="pt-PT"/>
        </w:rPr>
        <w:t>. Luonnon Tutkija, n. 57, p.12-16, 1953.</w:t>
      </w:r>
    </w:p>
    <w:p>
      <w:pPr>
        <w:pStyle w:val="Normal1"/>
        <w:spacing w:before="0" w:after="120"/>
        <w:jc w:val="both"/>
        <w:rPr/>
      </w:pPr>
      <w:r>
        <w:rPr/>
      </w:r>
    </w:p>
    <w:p>
      <w:pPr>
        <w:pStyle w:val="Normal1"/>
        <w:spacing w:before="0" w:after="120"/>
        <w:jc w:val="both"/>
        <w:rPr>
          <w:sz w:val="20"/>
          <w:lang w:val="pt-PT"/>
        </w:rPr>
      </w:pPr>
      <w:r>
        <w:rPr>
          <w:sz w:val="20"/>
          <w:lang w:val="pt-PT"/>
        </w:rPr>
        <w:t xml:space="preserve">LEMOS, M. F. e SILVA, P. F. da.; O Processo de Criação do Monumento Natural do Rio Samburá (Mg): Definição de Estratégias de Uso Público ou Ratificação de Interesses Privados? </w:t>
      </w:r>
      <w:r>
        <w:rPr>
          <w:b/>
          <w:sz w:val="20"/>
          <w:lang w:val="pt-PT"/>
        </w:rPr>
        <w:t>Anais</w:t>
      </w:r>
      <w:r>
        <w:rPr>
          <w:sz w:val="20"/>
          <w:lang w:val="pt-PT"/>
        </w:rPr>
        <w:t>... do II Encontro Fluminense de Uso Público em Unidades de Conservação. Turismo, recreação e educação: caminhos que se cruzam nos parques. Niterói, RJ / Brasil. Julho de 2015</w:t>
      </w:r>
    </w:p>
    <w:p>
      <w:pPr>
        <w:pStyle w:val="Normal1"/>
        <w:spacing w:before="0" w:after="120"/>
        <w:jc w:val="both"/>
        <w:rPr/>
      </w:pPr>
      <w:r>
        <w:rPr/>
      </w:r>
    </w:p>
    <w:p>
      <w:pPr>
        <w:pStyle w:val="Normal1"/>
        <w:spacing w:before="0" w:after="120"/>
        <w:jc w:val="both"/>
        <w:rPr>
          <w:sz w:val="20"/>
          <w:lang w:val="pt-PT"/>
        </w:rPr>
      </w:pPr>
      <w:r>
        <w:rPr>
          <w:sz w:val="20"/>
          <w:lang w:val="pt-PT"/>
        </w:rPr>
        <w:t xml:space="preserve">MMA; </w:t>
      </w:r>
      <w:r>
        <w:rPr>
          <w:b/>
          <w:sz w:val="20"/>
          <w:lang w:val="pt-PT"/>
        </w:rPr>
        <w:t>Projeto de preservação Ambiental</w:t>
      </w:r>
      <w:r>
        <w:rPr>
          <w:sz w:val="20"/>
          <w:lang w:val="pt-PT"/>
        </w:rPr>
        <w:t>: Revitalização do Rio São Francisco. Disponível em: &lt;http://www.mma.gov.br/agua/bacias-hidrograficas/revitaliza%C3%A7%C3%A3o-rio-s%C3%A3o-francisco&gt; 2003. Acesso 22/04/2016.</w:t>
      </w:r>
    </w:p>
    <w:p>
      <w:pPr>
        <w:pStyle w:val="Normal1"/>
        <w:spacing w:before="0" w:after="120"/>
        <w:jc w:val="both"/>
        <w:rPr/>
      </w:pPr>
      <w:r>
        <w:rPr/>
      </w:r>
    </w:p>
    <w:p>
      <w:pPr>
        <w:pStyle w:val="Normal1"/>
        <w:spacing w:before="0" w:after="120"/>
        <w:jc w:val="both"/>
        <w:rPr>
          <w:sz w:val="20"/>
        </w:rPr>
      </w:pPr>
      <w:r>
        <w:rPr>
          <w:sz w:val="20"/>
          <w:lang w:val="pt-PT"/>
        </w:rPr>
        <w:t xml:space="preserve">MORAIS, E. C. de; </w:t>
      </w:r>
      <w:r>
        <w:rPr>
          <w:b/>
          <w:sz w:val="20"/>
          <w:lang w:val="pt-PT"/>
        </w:rPr>
        <w:t>Fundamentos de Sensoriamento Remoto</w:t>
      </w:r>
      <w:r>
        <w:rPr>
          <w:sz w:val="20"/>
          <w:lang w:val="pt-PT"/>
        </w:rPr>
        <w:t xml:space="preserve">. Cap. 1, São José dos Campos: INPE, p.7. 2002. </w:t>
      </w:r>
      <w:r>
        <w:rPr>
          <w:sz w:val="20"/>
        </w:rPr>
        <w:t>Oficina de Textos, 2007.</w:t>
      </w:r>
    </w:p>
    <w:p>
      <w:pPr>
        <w:pStyle w:val="Normal1"/>
        <w:spacing w:before="0" w:after="120"/>
        <w:jc w:val="both"/>
        <w:rPr/>
      </w:pPr>
      <w:r>
        <w:rPr/>
      </w:r>
    </w:p>
    <w:p>
      <w:pPr>
        <w:pStyle w:val="Normal1"/>
        <w:spacing w:before="0" w:after="120"/>
        <w:jc w:val="both"/>
        <w:rPr>
          <w:sz w:val="20"/>
          <w:lang w:val="pt-PT"/>
        </w:rPr>
      </w:pPr>
      <w:r>
        <w:rPr>
          <w:sz w:val="20"/>
        </w:rPr>
        <w:t xml:space="preserve">PARKER, I.M; SIMBERLOFF, D.; LONSDALE, W. M.; GOODELL, K.; WONHAM, M.; GOLDWASSER, L. </w:t>
      </w:r>
      <w:r>
        <w:rPr>
          <w:b/>
          <w:sz w:val="20"/>
        </w:rPr>
        <w:t>Impact toward a framework for understanding the ecological effects of invaders</w:t>
      </w:r>
      <w:r>
        <w:rPr>
          <w:sz w:val="20"/>
        </w:rPr>
        <w:t xml:space="preserve">. </w:t>
      </w:r>
      <w:r>
        <w:rPr>
          <w:sz w:val="20"/>
          <w:lang w:val="pt-PT"/>
        </w:rPr>
        <w:t>Biological Invasions, vol. 1, 1999. p.3-19.</w:t>
      </w:r>
    </w:p>
    <w:p>
      <w:pPr>
        <w:pStyle w:val="Normal1"/>
        <w:spacing w:before="0" w:after="120"/>
        <w:jc w:val="both"/>
        <w:rPr/>
      </w:pPr>
      <w:r>
        <w:rPr/>
      </w:r>
    </w:p>
    <w:p>
      <w:pPr>
        <w:pStyle w:val="Normal1"/>
        <w:spacing w:before="0" w:after="120"/>
        <w:jc w:val="both"/>
        <w:rPr>
          <w:sz w:val="20"/>
          <w:lang w:val="pt-PT"/>
        </w:rPr>
      </w:pPr>
      <w:r>
        <w:rPr>
          <w:sz w:val="20"/>
          <w:lang w:val="pt-PT"/>
        </w:rPr>
        <w:t xml:space="preserve">RIBEIRO, J. F.; WALTER, B. M. T. Fitofisionomias do bioma cerrado in: SANO, S. M. Almeida, S. P. (ed). </w:t>
      </w:r>
      <w:r>
        <w:rPr>
          <w:b/>
          <w:sz w:val="20"/>
          <w:lang w:val="pt-PT"/>
        </w:rPr>
        <w:t>Cerrado: ambiente e flora.</w:t>
      </w:r>
      <w:r>
        <w:rPr>
          <w:sz w:val="20"/>
          <w:lang w:val="pt-PT"/>
        </w:rPr>
        <w:t xml:space="preserve"> Brasilia Embrapa Cerrados, 1998. P87-166.</w:t>
      </w:r>
    </w:p>
    <w:p>
      <w:pPr>
        <w:pStyle w:val="Normal1"/>
        <w:spacing w:before="0" w:after="120"/>
        <w:jc w:val="both"/>
        <w:rPr/>
      </w:pPr>
      <w:r>
        <w:rPr/>
      </w:r>
    </w:p>
    <w:p>
      <w:pPr>
        <w:pStyle w:val="Normal1"/>
        <w:spacing w:before="0" w:after="120"/>
        <w:jc w:val="both"/>
        <w:rPr>
          <w:sz w:val="20"/>
          <w:lang w:val="pt-PT"/>
        </w:rPr>
      </w:pPr>
      <w:r>
        <w:rPr>
          <w:sz w:val="20"/>
          <w:lang w:val="pt-PT"/>
        </w:rPr>
        <w:t xml:space="preserve">ROMERO, R. &amp; NAKAJIMA, J.N. 1999. Espécies endêmicas do Parque Nacional da Serra da Canastra, Minas Gerais. </w:t>
      </w:r>
      <w:r>
        <w:rPr>
          <w:b/>
          <w:sz w:val="20"/>
          <w:lang w:val="pt-PT"/>
        </w:rPr>
        <w:t>Revista Brasileira de Botânica</w:t>
      </w:r>
      <w:r>
        <w:rPr>
          <w:sz w:val="20"/>
          <w:lang w:val="pt-PT"/>
        </w:rPr>
        <w:t xml:space="preserve"> 22:259-265.</w:t>
      </w:r>
    </w:p>
    <w:p>
      <w:pPr>
        <w:pStyle w:val="Normal1"/>
        <w:spacing w:before="0" w:after="120"/>
        <w:jc w:val="both"/>
        <w:rPr/>
      </w:pPr>
      <w:r>
        <w:rPr/>
      </w:r>
    </w:p>
    <w:p>
      <w:pPr>
        <w:pStyle w:val="Normal1"/>
        <w:spacing w:before="0" w:after="120"/>
        <w:jc w:val="both"/>
        <w:rPr>
          <w:sz w:val="20"/>
          <w:lang w:val="pt-PT"/>
        </w:rPr>
      </w:pPr>
      <w:r>
        <w:rPr>
          <w:sz w:val="20"/>
          <w:lang w:val="pt-PT"/>
        </w:rPr>
        <w:t xml:space="preserve">SANTOS, A. A. dos; MACHADO, M. M. M. </w:t>
      </w:r>
      <w:r>
        <w:rPr>
          <w:b/>
          <w:sz w:val="20"/>
          <w:lang w:val="pt-PT"/>
        </w:rPr>
        <w:t>Análise da Fragmentação da Paisagem do Parque Nacional da Serra da Canastra e de sua Zona de Amortecimento</w:t>
      </w:r>
      <w:r>
        <w:rPr>
          <w:sz w:val="20"/>
          <w:lang w:val="pt-PT"/>
        </w:rPr>
        <w:t xml:space="preserve"> – MG.  R. Ra’e Ga Curitiba, v.33, Abr/2015, p.75-93</w:t>
      </w:r>
    </w:p>
    <w:p>
      <w:pPr>
        <w:pStyle w:val="Normal1"/>
        <w:spacing w:before="0" w:after="120"/>
        <w:jc w:val="both"/>
        <w:rPr/>
      </w:pPr>
      <w:r>
        <w:rPr/>
      </w:r>
    </w:p>
    <w:p>
      <w:pPr>
        <w:pStyle w:val="Normal1"/>
        <w:spacing w:before="0" w:after="120"/>
        <w:jc w:val="both"/>
        <w:rPr>
          <w:sz w:val="20"/>
          <w:lang w:val="pt-PT"/>
        </w:rPr>
      </w:pPr>
      <w:r>
        <w:rPr>
          <w:sz w:val="20"/>
          <w:lang w:val="pt-PT"/>
        </w:rPr>
        <w:t xml:space="preserve">SILVA A. A.; Uso De Sensoriamento Remoto Para O Monitoramento Ambiental Dos Cerrados. </w:t>
      </w:r>
      <w:r>
        <w:rPr>
          <w:b/>
          <w:sz w:val="20"/>
          <w:lang w:val="pt-PT"/>
        </w:rPr>
        <w:t>XI Simpósio Brasileiro de Geografia Física Aplicada</w:t>
      </w:r>
      <w:r>
        <w:rPr>
          <w:sz w:val="20"/>
          <w:lang w:val="pt-PT"/>
        </w:rPr>
        <w:t>. Universidade de São Paulo. Setembro de 2005.</w:t>
      </w:r>
    </w:p>
    <w:p>
      <w:pPr>
        <w:pStyle w:val="Normal1"/>
        <w:spacing w:before="0" w:after="120"/>
        <w:jc w:val="both"/>
        <w:rPr/>
      </w:pPr>
      <w:r>
        <w:rPr/>
      </w:r>
    </w:p>
    <w:p>
      <w:pPr>
        <w:pStyle w:val="Normal1"/>
        <w:spacing w:before="0" w:after="120"/>
        <w:jc w:val="both"/>
        <w:rPr>
          <w:sz w:val="20"/>
          <w:lang w:val="pt-PT"/>
        </w:rPr>
      </w:pPr>
      <w:r>
        <w:rPr>
          <w:sz w:val="20"/>
          <w:lang w:val="pt-PT"/>
        </w:rPr>
        <w:t xml:space="preserve">SUKOPP, H. Der Einfluss der Menschen auf die Vegetation. </w:t>
      </w:r>
      <w:r>
        <w:rPr>
          <w:b/>
          <w:sz w:val="20"/>
          <w:lang w:val="pt-PT"/>
        </w:rPr>
        <w:t>Vegetatio</w:t>
      </w:r>
      <w:r>
        <w:rPr>
          <w:sz w:val="20"/>
          <w:lang w:val="pt-PT"/>
        </w:rPr>
        <w:t>. 17: 1969 p. 360–371.</w:t>
      </w:r>
    </w:p>
    <w:p>
      <w:pPr>
        <w:pStyle w:val="Normal1"/>
        <w:spacing w:before="0" w:after="120"/>
        <w:jc w:val="both"/>
        <w:rPr/>
      </w:pPr>
      <w:r>
        <w:rPr/>
      </w:r>
    </w:p>
    <w:p>
      <w:pPr>
        <w:pStyle w:val="Normal1"/>
        <w:spacing w:before="0" w:after="120"/>
        <w:jc w:val="both"/>
        <w:rPr>
          <w:sz w:val="20"/>
          <w:lang w:val="pt-PT"/>
        </w:rPr>
      </w:pPr>
      <w:r>
        <w:rPr>
          <w:sz w:val="20"/>
          <w:lang w:val="pt-PT"/>
        </w:rPr>
        <w:t xml:space="preserve">WWF. </w:t>
      </w:r>
      <w:r>
        <w:rPr>
          <w:b/>
          <w:sz w:val="20"/>
          <w:lang w:val="pt-PT"/>
        </w:rPr>
        <w:t>Expansão agrícola e perda da biodiversidade no Cerrado</w:t>
      </w:r>
      <w:r>
        <w:rPr>
          <w:sz w:val="20"/>
          <w:lang w:val="pt-PT"/>
        </w:rPr>
        <w:t>: Origens históricas e o papel do comércio internacional. Brasília: WWF. 2000. 104p.</w:t>
      </w:r>
    </w:p>
    <w:p>
      <w:pPr>
        <w:pStyle w:val="GFTtulo"/>
        <w:spacing w:before="0" w:after="200"/>
        <w:rPr/>
      </w:pPr>
      <w:r>
        <w:rPr/>
      </w:r>
    </w:p>
    <w:sectPr>
      <w:headerReference w:type="default" r:id="rId9"/>
      <w:footerReference w:type="default" r:id="rId10"/>
      <w:type w:val="nextPage"/>
      <w:pgSz w:w="11906" w:h="16838"/>
      <w:pgMar w:left="1418" w:right="1418" w:header="709" w:top="1418" w:footer="709" w:bottom="1418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jc w:val="right"/>
      <w:rPr/>
    </w:pPr>
    <w:r>
      <w:rPr/>
      <w:fldChar w:fldCharType="begin"/>
    </w:r>
    <w:r>
      <w:instrText> PAGE </w:instrText>
    </w:r>
    <w:r>
      <w:fldChar w:fldCharType="separate"/>
    </w:r>
    <w:r>
      <w:t>12</w:t>
    </w:r>
    <w:r>
      <w:fldChar w:fldCharType="end"/>
    </w:r>
  </w:p>
  <w:p>
    <w:pPr>
      <w:pStyle w:val="Rodap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ind w:right="360" w:hanging="0"/>
      <w:rPr/>
    </w:pPr>
    <w:r>
      <w:rPr/>
      <w:drawing>
        <wp:inline distT="0" distB="0" distL="0" distR="0">
          <wp:extent cx="5760085" cy="647065"/>
          <wp:effectExtent l="0" t="0" r="0" b="0"/>
          <wp:docPr id="10" name="Figura7" descr="CABEÇALHO-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gura7" descr="CABEÇALHO-final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6470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  <mc:AlternateContent>
        <mc:Choice Requires="wps">
          <w:drawing>
            <wp:anchor behindDoc="1" distT="0" distB="0" distL="0" distR="0" simplePos="0" locked="0" layoutInCell="1" allowOverlap="1" relativeHeight="13">
              <wp:simplePos x="0" y="0"/>
              <wp:positionH relativeFrom="column">
                <wp:posOffset>6738620</wp:posOffset>
              </wp:positionH>
              <wp:positionV relativeFrom="paragraph">
                <wp:posOffset>125095</wp:posOffset>
              </wp:positionV>
              <wp:extent cx="15240" cy="175895"/>
              <wp:effectExtent l="13970" t="10795" r="9525" b="13970"/>
              <wp:wrapTopAndBottom/>
              <wp:docPr id="8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75320"/>
                      </a:xfrm>
                      <a:prstGeom prst="rect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abealho"/>
                            <w:pBdr/>
                            <w:rPr>
                              <w:color w:val="auto"/>
                            </w:rPr>
                          </w:pPr>
                          <w:r>
                            <w:rPr>
                              <w:color w:val="auto"/>
                            </w:rPr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ctangle 1" fillcolor="white" stroked="t" style="position:absolute;margin-left:530.6pt;margin-top:9.85pt;width:1.1pt;height:13.75pt">
              <w10:wrap type="none"/>
              <v:fill o:detectmouseclick="t" type="solid" color2="black" opacity="0"/>
              <v:stroke color="black" weight="9360" joinstyle="miter" endcap="flat"/>
              <v:textbox>
                <w:txbxContent>
                  <w:p>
                    <w:pPr>
                      <w:pStyle w:val="Cabealho"/>
                      <w:pBdr/>
                      <w:rPr>
                        <w:color w:val="auto"/>
                      </w:rPr>
                    </w:pPr>
                    <w:r>
                      <w:rPr>
                        <w:color w:val="auto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decimal"/>
      <w:lvlText w:val="%2"/>
      <w:lvlJc w:val="left"/>
      <w:pPr>
        <w:ind w:left="3978" w:hanging="576"/>
      </w:pPr>
    </w:lvl>
    <w:lvl w:ilvl="2">
      <w:start w:val="1"/>
      <w:numFmt w:val="decimal"/>
      <w:lvlText w:val="%2.%3"/>
      <w:lvlJc w:val="left"/>
      <w:pPr>
        <w:ind w:left="720" w:hanging="720"/>
      </w:pPr>
    </w:lvl>
    <w:lvl w:ilvl="3">
      <w:start w:val="1"/>
      <w:numFmt w:val="decimal"/>
      <w:lvlText w:val="%2.%3.%4"/>
      <w:lvlJc w:val="left"/>
      <w:pPr>
        <w:ind w:left="864" w:hanging="864"/>
      </w:pPr>
    </w:lvl>
    <w:lvl w:ilvl="4">
      <w:start w:val="1"/>
      <w:numFmt w:val="decimal"/>
      <w:lvlText w:val="%2.%3.%4.%5"/>
      <w:lvlJc w:val="left"/>
      <w:pPr>
        <w:ind w:left="1008" w:hanging="1008"/>
      </w:pPr>
    </w:lvl>
    <w:lvl w:ilvl="5">
      <w:start w:val="1"/>
      <w:numFmt w:val="decimal"/>
      <w:lvlText w:val="%2.%3.%4.%5.%6"/>
      <w:lvlJc w:val="left"/>
      <w:pPr>
        <w:ind w:left="1152" w:hanging="1152"/>
      </w:pPr>
    </w:lvl>
    <w:lvl w:ilvl="6">
      <w:start w:val="1"/>
      <w:numFmt w:val="decimal"/>
      <w:lvlText w:val="%2.%3.%4.%5.%6.%7"/>
      <w:lvlJc w:val="left"/>
      <w:pPr>
        <w:ind w:left="1296" w:hanging="1296"/>
      </w:pPr>
    </w:lvl>
    <w:lvl w:ilvl="7">
      <w:start w:val="1"/>
      <w:numFmt w:val="decimal"/>
      <w:lvlText w:val="%2.%3.%4.%5.%6.%7.%8"/>
      <w:lvlJc w:val="left"/>
      <w:pPr>
        <w:ind w:left="1440" w:hanging="1440"/>
      </w:pPr>
    </w:lvl>
    <w:lvl w:ilvl="8">
      <w:start w:val="1"/>
      <w:numFmt w:val="decimal"/>
      <w:lvlText w:val="%2.%3.%4.%5.%6.%7.%8.%9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SimSun" w:cs="Calibri"/>
        <w:sz w:val="22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/>
      <w:jc w:val="left"/>
    </w:pPr>
    <w:rPr>
      <w:rFonts w:ascii="Calibri" w:hAnsi="Calibri" w:eastAsia="SimSun" w:cs="Calibri"/>
      <w:color w:val="auto"/>
      <w:sz w:val="22"/>
      <w:szCs w:val="22"/>
      <w:lang w:val="pt-BR" w:eastAsia="en-US" w:bidi="ar-SA"/>
    </w:rPr>
  </w:style>
  <w:style w:type="paragraph" w:styleId="Ttulo1">
    <w:name w:val="Heading 1"/>
    <w:link w:val="Ttulo1Char"/>
    <w:uiPriority w:val="9"/>
    <w:qFormat/>
    <w:rsid w:val="0043585c"/>
    <w:pPr>
      <w:keepNext/>
      <w:keepLines/>
      <w:widowControl w:val="false"/>
      <w:spacing w:lineRule="auto" w:line="240" w:before="480" w:after="240"/>
      <w:ind w:left="432" w:hanging="432"/>
      <w:outlineLvl w:val="0"/>
    </w:pPr>
    <w:rPr>
      <w:rFonts w:ascii="Calibri" w:hAnsi="Calibri" w:eastAsia="SimSun" w:cs="Calibri"/>
      <w:b/>
      <w:bCs/>
      <w:color w:val="auto"/>
      <w:sz w:val="22"/>
      <w:szCs w:val="28"/>
      <w:lang w:val="pt-BR" w:eastAsia="en-US" w:bidi="ar-SA"/>
    </w:rPr>
  </w:style>
  <w:style w:type="paragraph" w:styleId="Ttulo2">
    <w:name w:val="Heading 2"/>
    <w:link w:val="Ttulo2Char"/>
    <w:uiPriority w:val="9"/>
    <w:unhideWhenUsed/>
    <w:qFormat/>
    <w:rsid w:val="0043585c"/>
    <w:pPr>
      <w:keepNext/>
      <w:keepLines/>
      <w:widowControl w:val="false"/>
      <w:spacing w:lineRule="auto" w:line="240" w:before="120" w:after="120"/>
      <w:ind w:left="567" w:hanging="578"/>
      <w:outlineLvl w:val="1"/>
    </w:pPr>
    <w:rPr>
      <w:rFonts w:ascii="Calibri" w:hAnsi="Calibri" w:eastAsia="SimSun" w:cs="Calibri"/>
      <w:b/>
      <w:color w:val="auto"/>
      <w:sz w:val="22"/>
      <w:szCs w:val="26"/>
      <w:lang w:val="pt-BR" w:eastAsia="en-US" w:bidi="ar-SA"/>
    </w:rPr>
  </w:style>
  <w:style w:type="paragraph" w:styleId="Ttulo3">
    <w:name w:val="Heading 3"/>
    <w:link w:val="Ttulo3Char"/>
    <w:uiPriority w:val="9"/>
    <w:unhideWhenUsed/>
    <w:qFormat/>
    <w:rsid w:val="00fb6dfd"/>
    <w:pPr>
      <w:keepNext/>
      <w:keepLines/>
      <w:widowControl w:val="false"/>
      <w:spacing w:lineRule="auto" w:line="360" w:before="120" w:after="120"/>
      <w:ind w:left="432" w:hanging="432"/>
      <w:outlineLvl w:val="2"/>
    </w:pPr>
    <w:rPr>
      <w:rFonts w:ascii="Arial" w:hAnsi="Arial" w:eastAsia="SimSun" w:cs="Calibri"/>
      <w:color w:val="auto"/>
      <w:sz w:val="22"/>
      <w:szCs w:val="22"/>
      <w:lang w:val="pt-BR" w:eastAsia="en-US" w:bidi="ar-SA"/>
    </w:rPr>
  </w:style>
  <w:style w:type="paragraph" w:styleId="Ttulo4">
    <w:name w:val="Heading 4"/>
    <w:link w:val="Ttulo4Char"/>
    <w:uiPriority w:val="9"/>
    <w:semiHidden/>
    <w:unhideWhenUsed/>
    <w:qFormat/>
    <w:rsid w:val="00187bb6"/>
    <w:pPr>
      <w:keepNext/>
      <w:keepLines/>
      <w:widowControl w:val="false"/>
      <w:spacing w:before="40" w:after="0"/>
      <w:ind w:left="432" w:hanging="432"/>
      <w:outlineLvl w:val="3"/>
    </w:pPr>
    <w:rPr>
      <w:rFonts w:ascii="Cambria" w:hAnsi="Cambria" w:eastAsia="SimSun" w:cs="Calibri"/>
      <w:i/>
      <w:iCs/>
      <w:color w:val="365F91"/>
      <w:sz w:val="22"/>
      <w:szCs w:val="22"/>
      <w:lang w:val="pt-BR" w:eastAsia="en-US" w:bidi="ar-SA"/>
    </w:rPr>
  </w:style>
  <w:style w:type="paragraph" w:styleId="Ttulo5">
    <w:name w:val="Heading 5"/>
    <w:link w:val="Ttulo5Char"/>
    <w:uiPriority w:val="9"/>
    <w:semiHidden/>
    <w:unhideWhenUsed/>
    <w:qFormat/>
    <w:rsid w:val="00187bb6"/>
    <w:pPr>
      <w:keepNext/>
      <w:keepLines/>
      <w:widowControl w:val="false"/>
      <w:spacing w:before="40" w:after="0"/>
      <w:ind w:left="432" w:hanging="432"/>
      <w:outlineLvl w:val="4"/>
    </w:pPr>
    <w:rPr>
      <w:rFonts w:ascii="Cambria" w:hAnsi="Cambria" w:eastAsia="SimSun" w:cs="Calibri"/>
      <w:color w:val="365F91"/>
      <w:sz w:val="22"/>
      <w:szCs w:val="22"/>
      <w:lang w:val="pt-BR" w:eastAsia="en-US" w:bidi="ar-SA"/>
    </w:rPr>
  </w:style>
  <w:style w:type="paragraph" w:styleId="Ttulo6">
    <w:name w:val="Heading 6"/>
    <w:link w:val="Ttulo6Char"/>
    <w:uiPriority w:val="9"/>
    <w:semiHidden/>
    <w:unhideWhenUsed/>
    <w:qFormat/>
    <w:rsid w:val="00187bb6"/>
    <w:pPr>
      <w:keepNext/>
      <w:keepLines/>
      <w:widowControl w:val="false"/>
      <w:spacing w:before="40" w:after="0"/>
      <w:ind w:left="432" w:hanging="432"/>
      <w:outlineLvl w:val="5"/>
    </w:pPr>
    <w:rPr>
      <w:rFonts w:ascii="Cambria" w:hAnsi="Cambria" w:eastAsia="SimSun" w:cs="Calibri"/>
      <w:color w:val="243F60"/>
      <w:sz w:val="22"/>
      <w:szCs w:val="22"/>
      <w:lang w:val="pt-BR" w:eastAsia="en-US" w:bidi="ar-SA"/>
    </w:rPr>
  </w:style>
  <w:style w:type="paragraph" w:styleId="Ttulo7">
    <w:name w:val="Heading 7"/>
    <w:link w:val="Ttulo7Char"/>
    <w:uiPriority w:val="9"/>
    <w:semiHidden/>
    <w:unhideWhenUsed/>
    <w:qFormat/>
    <w:rsid w:val="00187bb6"/>
    <w:pPr>
      <w:keepNext/>
      <w:keepLines/>
      <w:widowControl w:val="false"/>
      <w:spacing w:before="40" w:after="0"/>
      <w:ind w:left="432" w:hanging="432"/>
      <w:outlineLvl w:val="6"/>
    </w:pPr>
    <w:rPr>
      <w:rFonts w:ascii="Cambria" w:hAnsi="Cambria" w:eastAsia="SimSun" w:cs="Calibri"/>
      <w:i/>
      <w:iCs/>
      <w:color w:val="243F60"/>
      <w:sz w:val="22"/>
      <w:szCs w:val="22"/>
      <w:lang w:val="pt-BR" w:eastAsia="en-US" w:bidi="ar-SA"/>
    </w:rPr>
  </w:style>
  <w:style w:type="paragraph" w:styleId="Ttulo8">
    <w:name w:val="Heading 8"/>
    <w:link w:val="Ttulo8Char"/>
    <w:uiPriority w:val="9"/>
    <w:semiHidden/>
    <w:unhideWhenUsed/>
    <w:qFormat/>
    <w:rsid w:val="00187bb6"/>
    <w:pPr>
      <w:keepNext/>
      <w:keepLines/>
      <w:widowControl w:val="false"/>
      <w:spacing w:before="40" w:after="0"/>
      <w:ind w:left="432" w:hanging="432"/>
      <w:outlineLvl w:val="7"/>
    </w:pPr>
    <w:rPr>
      <w:rFonts w:ascii="Cambria" w:hAnsi="Cambria" w:eastAsia="SimSun" w:cs="Calibri"/>
      <w:color w:val="272727"/>
      <w:sz w:val="21"/>
      <w:szCs w:val="21"/>
      <w:lang w:val="pt-BR" w:eastAsia="en-US" w:bidi="ar-SA"/>
    </w:rPr>
  </w:style>
  <w:style w:type="paragraph" w:styleId="Ttulo9">
    <w:name w:val="Heading 9"/>
    <w:link w:val="Ttulo9Char"/>
    <w:uiPriority w:val="9"/>
    <w:semiHidden/>
    <w:unhideWhenUsed/>
    <w:qFormat/>
    <w:rsid w:val="00187bb6"/>
    <w:pPr>
      <w:keepNext/>
      <w:keepLines/>
      <w:widowControl w:val="false"/>
      <w:spacing w:before="40" w:after="0"/>
      <w:ind w:left="432" w:hanging="432"/>
      <w:outlineLvl w:val="8"/>
    </w:pPr>
    <w:rPr>
      <w:rFonts w:ascii="Cambria" w:hAnsi="Cambria" w:eastAsia="SimSun" w:cs="Calibri"/>
      <w:i/>
      <w:iCs/>
      <w:color w:val="272727"/>
      <w:sz w:val="21"/>
      <w:szCs w:val="21"/>
      <w:lang w:val="pt-BR" w:eastAsia="en-US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TtuloChar" w:customStyle="1">
    <w:name w:val="Título Char"/>
    <w:basedOn w:val="DefaultParagraphFont"/>
    <w:link w:val="Ttulo"/>
    <w:uiPriority w:val="10"/>
    <w:qFormat/>
    <w:rsid w:val="002045d3"/>
    <w:rPr>
      <w:rFonts w:ascii="Times New Roman" w:hAnsi="Times New Roman"/>
      <w:b/>
      <w:spacing w:val="5"/>
      <w:sz w:val="28"/>
      <w:szCs w:val="52"/>
    </w:rPr>
  </w:style>
  <w:style w:type="character" w:styleId="Ttulo1Char" w:customStyle="1">
    <w:name w:val="Título 1 Char"/>
    <w:basedOn w:val="DefaultParagraphFont"/>
    <w:link w:val="Ttulo1"/>
    <w:uiPriority w:val="9"/>
    <w:qFormat/>
    <w:rsid w:val="0043585c"/>
    <w:rPr>
      <w:rFonts w:ascii="Times New Roman" w:hAnsi="Times New Roman" w:eastAsia="SimSun;宋体" w:cs="Mangal"/>
      <w:b/>
      <w:bCs/>
      <w:sz w:val="24"/>
      <w:szCs w:val="28"/>
      <w:lang w:val="en-US" w:eastAsia="zh-CN" w:bidi="hi-IN"/>
    </w:rPr>
  </w:style>
  <w:style w:type="character" w:styleId="Ttulo2Char" w:customStyle="1">
    <w:name w:val="Título 2 Char"/>
    <w:basedOn w:val="DefaultParagraphFont"/>
    <w:link w:val="Ttulo2"/>
    <w:uiPriority w:val="9"/>
    <w:qFormat/>
    <w:rsid w:val="0043585c"/>
    <w:rPr>
      <w:rFonts w:ascii="Times New Roman" w:hAnsi="Times New Roman" w:eastAsia="SimSun;宋体" w:cs="Mangal"/>
      <w:b/>
      <w:sz w:val="24"/>
      <w:szCs w:val="26"/>
      <w:lang w:val="en-US" w:eastAsia="zh-CN" w:bidi="hi-IN"/>
    </w:rPr>
  </w:style>
  <w:style w:type="character" w:styleId="Ttulo3Char" w:customStyle="1">
    <w:name w:val="Título 3 Char"/>
    <w:basedOn w:val="DefaultParagraphFont"/>
    <w:link w:val="Ttulo3"/>
    <w:uiPriority w:val="9"/>
    <w:qFormat/>
    <w:rsid w:val="00fb6dfd"/>
    <w:rPr>
      <w:rFonts w:ascii="Arial" w:hAnsi="Arial" w:eastAsia="SimSun;宋体" w:cs="Mangal"/>
      <w:sz w:val="24"/>
      <w:szCs w:val="24"/>
      <w:lang w:val="en-US" w:eastAsia="zh-CN" w:bidi="hi-IN"/>
    </w:rPr>
  </w:style>
  <w:style w:type="character" w:styleId="Ttulo4Char" w:customStyle="1">
    <w:name w:val="Título 4 Char"/>
    <w:basedOn w:val="DefaultParagraphFont"/>
    <w:link w:val="Ttulo4"/>
    <w:uiPriority w:val="9"/>
    <w:semiHidden/>
    <w:qFormat/>
    <w:rsid w:val="00187bb6"/>
    <w:rPr>
      <w:rFonts w:ascii="Cambria" w:hAnsi="Cambria" w:eastAsia="SimSun;宋体" w:cs="Mangal"/>
      <w:i/>
      <w:iCs/>
      <w:color w:val="365F91"/>
      <w:sz w:val="24"/>
      <w:szCs w:val="24"/>
      <w:lang w:val="en-US" w:eastAsia="zh-CN" w:bidi="hi-IN"/>
    </w:rPr>
  </w:style>
  <w:style w:type="character" w:styleId="Ttulo5Char" w:customStyle="1">
    <w:name w:val="Título 5 Char"/>
    <w:basedOn w:val="DefaultParagraphFont"/>
    <w:link w:val="Ttulo5"/>
    <w:uiPriority w:val="9"/>
    <w:semiHidden/>
    <w:qFormat/>
    <w:rsid w:val="00187bb6"/>
    <w:rPr>
      <w:rFonts w:ascii="Cambria" w:hAnsi="Cambria" w:eastAsia="SimSun;宋体" w:cs="Mangal"/>
      <w:color w:val="365F91"/>
      <w:sz w:val="24"/>
      <w:szCs w:val="24"/>
      <w:lang w:val="en-US" w:eastAsia="zh-CN" w:bidi="hi-IN"/>
    </w:rPr>
  </w:style>
  <w:style w:type="character" w:styleId="Ttulo6Char" w:customStyle="1">
    <w:name w:val="Título 6 Char"/>
    <w:basedOn w:val="DefaultParagraphFont"/>
    <w:link w:val="Ttulo6"/>
    <w:uiPriority w:val="9"/>
    <w:semiHidden/>
    <w:qFormat/>
    <w:rsid w:val="00187bb6"/>
    <w:rPr>
      <w:rFonts w:ascii="Cambria" w:hAnsi="Cambria" w:eastAsia="SimSun;宋体" w:cs="Mangal"/>
      <w:color w:val="243F60"/>
      <w:sz w:val="24"/>
      <w:szCs w:val="24"/>
      <w:lang w:val="en-US" w:eastAsia="zh-CN" w:bidi="hi-IN"/>
    </w:rPr>
  </w:style>
  <w:style w:type="character" w:styleId="Ttulo7Char" w:customStyle="1">
    <w:name w:val="Título 7 Char"/>
    <w:basedOn w:val="DefaultParagraphFont"/>
    <w:link w:val="Ttulo7"/>
    <w:uiPriority w:val="9"/>
    <w:semiHidden/>
    <w:qFormat/>
    <w:rsid w:val="00187bb6"/>
    <w:rPr>
      <w:rFonts w:ascii="Cambria" w:hAnsi="Cambria" w:eastAsia="SimSun;宋体" w:cs="Mangal"/>
      <w:i/>
      <w:iCs/>
      <w:color w:val="243F60"/>
      <w:sz w:val="24"/>
      <w:szCs w:val="24"/>
      <w:lang w:val="en-US" w:eastAsia="zh-CN" w:bidi="hi-IN"/>
    </w:rPr>
  </w:style>
  <w:style w:type="character" w:styleId="Ttulo8Char" w:customStyle="1">
    <w:name w:val="Título 8 Char"/>
    <w:basedOn w:val="DefaultParagraphFont"/>
    <w:link w:val="Ttulo8"/>
    <w:uiPriority w:val="9"/>
    <w:semiHidden/>
    <w:qFormat/>
    <w:rsid w:val="00187bb6"/>
    <w:rPr>
      <w:rFonts w:ascii="Cambria" w:hAnsi="Cambria" w:eastAsia="SimSun;宋体" w:cs="Mangal"/>
      <w:color w:val="272727"/>
      <w:sz w:val="21"/>
      <w:szCs w:val="21"/>
      <w:lang w:val="en-US" w:eastAsia="zh-CN" w:bidi="hi-IN"/>
    </w:rPr>
  </w:style>
  <w:style w:type="character" w:styleId="Ttulo9Char" w:customStyle="1">
    <w:name w:val="Título 9 Char"/>
    <w:basedOn w:val="DefaultParagraphFont"/>
    <w:link w:val="Ttulo9"/>
    <w:uiPriority w:val="9"/>
    <w:semiHidden/>
    <w:qFormat/>
    <w:rsid w:val="00187bb6"/>
    <w:rPr>
      <w:rFonts w:ascii="Cambria" w:hAnsi="Cambria" w:eastAsia="SimSun;宋体" w:cs="Mangal"/>
      <w:i/>
      <w:iCs/>
      <w:color w:val="272727"/>
      <w:sz w:val="21"/>
      <w:szCs w:val="21"/>
      <w:lang w:val="en-US" w:eastAsia="zh-CN" w:bidi="hi-IN"/>
    </w:rPr>
  </w:style>
  <w:style w:type="character" w:styleId="LinkdaInternet">
    <w:name w:val="Link da Internet"/>
    <w:basedOn w:val="DefaultParagraphFont"/>
    <w:uiPriority w:val="99"/>
    <w:unhideWhenUsed/>
    <w:rsid w:val="009a0ad7"/>
    <w:rPr>
      <w:color w:val="0000FF" w:themeColor="hyperlink"/>
      <w:u w:val="single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a34a05"/>
    <w:rPr/>
  </w:style>
  <w:style w:type="character" w:styleId="Pagenumber">
    <w:name w:val="page number"/>
    <w:basedOn w:val="DefaultParagraphFont"/>
    <w:uiPriority w:val="99"/>
    <w:semiHidden/>
    <w:unhideWhenUsed/>
    <w:qFormat/>
    <w:rsid w:val="00a34a05"/>
    <w:rPr/>
  </w:style>
  <w:style w:type="character" w:styleId="RodapChar" w:customStyle="1">
    <w:name w:val="Rodapé Char"/>
    <w:basedOn w:val="DefaultParagraphFont"/>
    <w:link w:val="Rodap"/>
    <w:uiPriority w:val="99"/>
    <w:qFormat/>
    <w:rsid w:val="00a34a05"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fd5ecc"/>
    <w:rPr>
      <w:rFonts w:ascii="Tahoma" w:hAnsi="Tahoma" w:cs="Tahoma"/>
      <w:sz w:val="16"/>
      <w:szCs w:val="16"/>
    </w:rPr>
  </w:style>
  <w:style w:type="character" w:styleId="Appleconvertedspace" w:customStyle="1">
    <w:name w:val="apple-converted-space"/>
    <w:basedOn w:val="DefaultParagraphFont"/>
    <w:qFormat/>
    <w:rsid w:val="001450cf"/>
    <w:rPr/>
  </w:style>
  <w:style w:type="character" w:styleId="PargrafodaListaChar" w:customStyle="1">
    <w:name w:val="Parágrafo da Lista Char"/>
    <w:basedOn w:val="DefaultParagraphFont"/>
    <w:link w:val="PargrafodaLista"/>
    <w:uiPriority w:val="34"/>
    <w:qFormat/>
    <w:rsid w:val="0043585c"/>
    <w:rPr>
      <w:rFonts w:ascii="Times New Roman" w:hAnsi="Times New Roman"/>
    </w:rPr>
  </w:style>
  <w:style w:type="character" w:styleId="GFMapaChar" w:customStyle="1">
    <w:name w:val="GF_Mapa Char"/>
    <w:basedOn w:val="PargrafodaListaChar"/>
    <w:link w:val="GFMapa"/>
    <w:qFormat/>
    <w:rsid w:val="00f16b10"/>
    <w:rPr>
      <w:rFonts w:ascii="Arial" w:hAnsi="Arial"/>
      <w:b/>
      <w:sz w:val="20"/>
    </w:rPr>
  </w:style>
  <w:style w:type="character" w:styleId="FootnotedescriptionChar" w:customStyle="1">
    <w:name w:val="footnote description Char"/>
    <w:qFormat/>
    <w:rsid w:val="00a015c2"/>
    <w:rPr>
      <w:rFonts w:ascii="Calibri" w:hAnsi="Calibri" w:eastAsia="Calibri" w:cs="Calibri"/>
      <w:color w:val="181717"/>
      <w:sz w:val="14"/>
      <w:lang w:eastAsia="pt-BR"/>
    </w:rPr>
  </w:style>
  <w:style w:type="character" w:styleId="CitaoChar" w:customStyle="1">
    <w:name w:val="Citação Char"/>
    <w:basedOn w:val="DefaultParagraphFont"/>
    <w:link w:val="Citao"/>
    <w:uiPriority w:val="29"/>
    <w:qFormat/>
    <w:rsid w:val="00a015c2"/>
    <w:rPr>
      <w:rFonts w:ascii="Arial" w:hAnsi="Arial"/>
      <w:i/>
      <w:iCs/>
      <w:color w:val="404040"/>
      <w:sz w:val="20"/>
    </w:rPr>
  </w:style>
  <w:style w:type="character" w:styleId="GFResumoChar" w:customStyle="1">
    <w:name w:val="GF_Resumo Char"/>
    <w:basedOn w:val="PargrafodaListaChar"/>
    <w:link w:val="GFResumo"/>
    <w:qFormat/>
    <w:rsid w:val="0043585c"/>
    <w:rPr>
      <w:rFonts w:ascii="Times New Roman" w:hAnsi="Times New Roman"/>
      <w:sz w:val="20"/>
    </w:rPr>
  </w:style>
  <w:style w:type="character" w:styleId="Footnotemark" w:customStyle="1">
    <w:name w:val="footnote mark"/>
    <w:qFormat/>
    <w:rsid w:val="00042d82"/>
    <w:rPr>
      <w:rFonts w:ascii="Calibri" w:hAnsi="Calibri" w:eastAsia="Calibri" w:cs="Calibri"/>
      <w:color w:val="181717"/>
      <w:sz w:val="18"/>
      <w:vertAlign w:val="superscript"/>
    </w:rPr>
  </w:style>
  <w:style w:type="character" w:styleId="TextodenotaderodapChar" w:customStyle="1">
    <w:name w:val="Texto de nota de rodapé Char"/>
    <w:basedOn w:val="DefaultParagraphFont"/>
    <w:link w:val="Textodenotaderodap"/>
    <w:uiPriority w:val="99"/>
    <w:semiHidden/>
    <w:qFormat/>
    <w:rsid w:val="00dd1b2a"/>
    <w:rPr>
      <w:sz w:val="20"/>
      <w:szCs w:val="20"/>
    </w:rPr>
  </w:style>
  <w:style w:type="character" w:styleId="GFTtuloChar" w:customStyle="1">
    <w:name w:val="GF_Título Char"/>
    <w:basedOn w:val="TtuloChar"/>
    <w:link w:val="GFTtulo"/>
    <w:qFormat/>
    <w:rsid w:val="009b61e7"/>
    <w:rPr>
      <w:rFonts w:ascii="Times New Roman" w:hAnsi="Times New Roman"/>
      <w:b/>
      <w:spacing w:val="5"/>
      <w:sz w:val="28"/>
      <w:szCs w:val="52"/>
    </w:rPr>
  </w:style>
  <w:style w:type="character" w:styleId="GFDepatamentosChar" w:customStyle="1">
    <w:name w:val="GF_Depatamentos Char"/>
    <w:basedOn w:val="PargrafodaListaChar"/>
    <w:link w:val="GFDepatamentos"/>
    <w:qFormat/>
    <w:rsid w:val="009b61e7"/>
    <w:rPr>
      <w:rFonts w:ascii="Times New Roman" w:hAnsi="Times New Roman"/>
      <w:sz w:val="20"/>
      <w:szCs w:val="20"/>
    </w:rPr>
  </w:style>
  <w:style w:type="character" w:styleId="GFEixoChar" w:customStyle="1">
    <w:name w:val="GF_Eixo Char"/>
    <w:basedOn w:val="PargrafodaListaChar"/>
    <w:link w:val="GFEixo"/>
    <w:qFormat/>
    <w:rsid w:val="009b61e7"/>
    <w:rPr>
      <w:rFonts w:ascii="Times New Roman" w:hAnsi="Times New Roman"/>
      <w:b/>
    </w:rPr>
  </w:style>
  <w:style w:type="character" w:styleId="SemEspaamentoChar" w:customStyle="1">
    <w:name w:val="Sem Espaçamento Char"/>
    <w:basedOn w:val="DefaultParagraphFont"/>
    <w:link w:val="SemEspaamento"/>
    <w:uiPriority w:val="1"/>
    <w:qFormat/>
    <w:rsid w:val="0043585c"/>
    <w:rPr>
      <w:rFonts w:ascii="Times New Roman" w:hAnsi="Times New Roman" w:cs="Times New Roman"/>
      <w:sz w:val="24"/>
      <w:szCs w:val="24"/>
    </w:rPr>
  </w:style>
  <w:style w:type="character" w:styleId="GFRETIChar" w:customStyle="1">
    <w:name w:val="GF_RE_TI Char"/>
    <w:basedOn w:val="SemEspaamentoChar"/>
    <w:link w:val="GFRETI"/>
    <w:qFormat/>
    <w:rsid w:val="009b61e7"/>
    <w:rPr>
      <w:rFonts w:ascii="Times New Roman" w:hAnsi="Times New Roman" w:cs="Times New Roman"/>
      <w:sz w:val="24"/>
      <w:szCs w:val="24"/>
    </w:rPr>
  </w:style>
  <w:style w:type="character" w:styleId="GFPalavraChar" w:customStyle="1">
    <w:name w:val="GF_Palavra Char"/>
    <w:basedOn w:val="GFResumoChar"/>
    <w:link w:val="GFPalavra"/>
    <w:qFormat/>
    <w:rsid w:val="0043585c"/>
    <w:rPr>
      <w:rFonts w:ascii="Times New Roman" w:hAnsi="Times New Roman"/>
      <w:b/>
      <w:sz w:val="20"/>
    </w:rPr>
  </w:style>
  <w:style w:type="character" w:styleId="RecuodecorpodetextoChar" w:customStyle="1">
    <w:name w:val="Recuo de corpo de texto Char"/>
    <w:basedOn w:val="DefaultParagraphFont"/>
    <w:link w:val="Corpodetextorecuado"/>
    <w:semiHidden/>
    <w:qFormat/>
    <w:rsid w:val="00a963c2"/>
    <w:rPr>
      <w:rFonts w:ascii="Times" w:hAnsi="Times" w:eastAsia="Times" w:cs="Times New Roman"/>
      <w:sz w:val="24"/>
      <w:szCs w:val="20"/>
      <w:lang w:val="en-US"/>
    </w:rPr>
  </w:style>
  <w:style w:type="character" w:styleId="Annotationreference">
    <w:name w:val="annotation reference"/>
    <w:uiPriority w:val="99"/>
    <w:semiHidden/>
    <w:unhideWhenUsed/>
    <w:qFormat/>
    <w:rsid w:val="00a963c2"/>
    <w:rPr>
      <w:sz w:val="16"/>
      <w:szCs w:val="16"/>
    </w:rPr>
  </w:style>
  <w:style w:type="character" w:styleId="ListLabel1" w:customStyle="1">
    <w:name w:val="ListLabel 1"/>
    <w:qFormat/>
    <w:rPr>
      <w:rFonts w:cs="Courier New"/>
    </w:rPr>
  </w:style>
  <w:style w:type="character" w:styleId="Gi" w:customStyle="1">
    <w:name w:val="gi"/>
    <w:basedOn w:val="DefaultParagraphFont"/>
    <w:qFormat/>
    <w:rsid w:val="00e07413"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1"/>
    <w:qFormat/>
    <w:pPr>
      <w:suppressLineNumbers/>
    </w:pPr>
    <w:rPr>
      <w:rFonts w:cs="Lucida Sans"/>
    </w:rPr>
  </w:style>
  <w:style w:type="paragraph" w:styleId="Normal1" w:customStyle="1">
    <w:name w:val="Normal1"/>
    <w:qFormat/>
    <w:rsid w:val="00685f0e"/>
    <w:pPr>
      <w:widowControl/>
      <w:tabs>
        <w:tab w:val="left" w:pos="708" w:leader="none"/>
      </w:tabs>
      <w:suppressAutoHyphens w:val="true"/>
      <w:bidi w:val="0"/>
      <w:spacing w:before="0" w:after="200"/>
      <w:jc w:val="left"/>
      <w:textAlignment w:val="baseline"/>
    </w:pPr>
    <w:rPr>
      <w:rFonts w:ascii="Times New Roman" w:hAnsi="Times New Roman" w:eastAsia="SimSun;宋体" w:cs="Mangal"/>
      <w:color w:val="auto"/>
      <w:sz w:val="24"/>
      <w:szCs w:val="24"/>
      <w:lang w:val="en-US" w:eastAsia="zh-CN" w:bidi="hi-IN"/>
    </w:rPr>
  </w:style>
  <w:style w:type="paragraph" w:styleId="Ttulododocumento" w:customStyle="1">
    <w:name w:val="Title"/>
    <w:basedOn w:val="Normal1"/>
    <w:next w:val="Normal1"/>
    <w:uiPriority w:val="10"/>
    <w:qFormat/>
    <w:rsid w:val="002045d3"/>
    <w:pPr/>
    <w:rPr/>
  </w:style>
  <w:style w:type="paragraph" w:styleId="Corpodotexto" w:customStyle="1">
    <w:name w:val="Corpo do texto"/>
    <w:basedOn w:val="Normal1"/>
    <w:qFormat/>
    <w:pPr>
      <w:spacing w:lineRule="auto" w:line="288" w:before="0" w:after="140"/>
    </w:pPr>
    <w:rPr/>
  </w:style>
  <w:style w:type="paragraph" w:styleId="Caption">
    <w:name w:val="caption"/>
    <w:basedOn w:val="Normal1"/>
    <w:qFormat/>
    <w:pPr>
      <w:suppressLineNumbers/>
      <w:spacing w:before="120" w:after="120"/>
    </w:pPr>
    <w:rPr>
      <w:rFonts w:cs="Lucida Sans"/>
      <w:i/>
      <w:iCs/>
    </w:rPr>
  </w:style>
  <w:style w:type="paragraph" w:styleId="ListParagraph">
    <w:name w:val="List Paragraph"/>
    <w:basedOn w:val="Normal1"/>
    <w:link w:val="PargrafodaListaChar"/>
    <w:uiPriority w:val="34"/>
    <w:qFormat/>
    <w:rsid w:val="0043585c"/>
    <w:pPr>
      <w:spacing w:lineRule="auto" w:line="360" w:before="0" w:after="120"/>
      <w:jc w:val="both"/>
    </w:pPr>
    <w:rPr/>
  </w:style>
  <w:style w:type="paragraph" w:styleId="NoSpacing">
    <w:name w:val="No Spacing"/>
    <w:link w:val="SemEspaamentoChar"/>
    <w:uiPriority w:val="1"/>
    <w:qFormat/>
    <w:rsid w:val="0043585c"/>
    <w:pPr>
      <w:widowControl/>
      <w:suppressAutoHyphens w:val="true"/>
      <w:bidi w:val="0"/>
      <w:spacing w:lineRule="auto" w:line="240" w:before="240" w:after="240"/>
      <w:contextualSpacing/>
      <w:jc w:val="center"/>
    </w:pPr>
    <w:rPr>
      <w:rFonts w:ascii="Times New Roman" w:hAnsi="Times New Roman" w:cs="Times New Roman" w:eastAsia="SimSun"/>
      <w:color w:val="auto"/>
      <w:sz w:val="24"/>
      <w:szCs w:val="24"/>
      <w:lang w:val="pt-BR" w:eastAsia="en-US" w:bidi="ar-SA"/>
    </w:rPr>
  </w:style>
  <w:style w:type="paragraph" w:styleId="Ttulodosumrio" w:customStyle="1">
    <w:name w:val="TOA Heading"/>
    <w:basedOn w:val="Ttulo1"/>
    <w:next w:val="Normal1"/>
    <w:uiPriority w:val="39"/>
    <w:unhideWhenUsed/>
    <w:qFormat/>
    <w:rsid w:val="00dd1462"/>
    <w:pPr>
      <w:spacing w:lineRule="auto" w:line="259" w:before="240" w:after="0"/>
    </w:pPr>
    <w:rPr>
      <w:rFonts w:ascii="Cambria" w:hAnsi="Cambria"/>
      <w:b w:val="false"/>
      <w:bCs w:val="false"/>
      <w:color w:val="365F91"/>
      <w:sz w:val="32"/>
      <w:szCs w:val="32"/>
      <w:lang w:eastAsia="pt-BR"/>
    </w:rPr>
  </w:style>
  <w:style w:type="paragraph" w:styleId="Sumrio1">
    <w:name w:val="TOC 1"/>
    <w:basedOn w:val="Normal1"/>
    <w:next w:val="Normal1"/>
    <w:autoRedefine/>
    <w:uiPriority w:val="39"/>
    <w:unhideWhenUsed/>
    <w:rsid w:val="00dd1462"/>
    <w:pPr>
      <w:spacing w:before="0" w:after="100"/>
    </w:pPr>
    <w:rPr/>
  </w:style>
  <w:style w:type="paragraph" w:styleId="Sumrio2">
    <w:name w:val="TOC 2"/>
    <w:basedOn w:val="Normal1"/>
    <w:next w:val="Normal1"/>
    <w:autoRedefine/>
    <w:uiPriority w:val="39"/>
    <w:unhideWhenUsed/>
    <w:rsid w:val="00dd1462"/>
    <w:pPr>
      <w:spacing w:before="0" w:after="100"/>
      <w:ind w:left="220" w:hanging="0"/>
    </w:pPr>
    <w:rPr/>
  </w:style>
  <w:style w:type="paragraph" w:styleId="Sumrio3">
    <w:name w:val="TOC 3"/>
    <w:basedOn w:val="Normal1"/>
    <w:next w:val="Normal1"/>
    <w:autoRedefine/>
    <w:uiPriority w:val="39"/>
    <w:unhideWhenUsed/>
    <w:rsid w:val="00dd1462"/>
    <w:pPr>
      <w:spacing w:before="0" w:after="100"/>
      <w:ind w:left="440" w:hanging="0"/>
    </w:pPr>
    <w:rPr/>
  </w:style>
  <w:style w:type="paragraph" w:styleId="Cabealho">
    <w:name w:val="Header"/>
    <w:basedOn w:val="Normal1"/>
    <w:link w:val="CabealhoChar"/>
    <w:uiPriority w:val="99"/>
    <w:unhideWhenUsed/>
    <w:rsid w:val="00a34a05"/>
    <w:pPr>
      <w:tabs>
        <w:tab w:val="center" w:pos="4419" w:leader="none"/>
        <w:tab w:val="right" w:pos="8838" w:leader="none"/>
      </w:tabs>
      <w:spacing w:lineRule="auto" w:line="240" w:before="0" w:after="0"/>
    </w:pPr>
    <w:rPr/>
  </w:style>
  <w:style w:type="paragraph" w:styleId="Rodap">
    <w:name w:val="Footer"/>
    <w:basedOn w:val="Normal1"/>
    <w:link w:val="RodapChar"/>
    <w:uiPriority w:val="99"/>
    <w:unhideWhenUsed/>
    <w:rsid w:val="00a34a05"/>
    <w:pPr>
      <w:tabs>
        <w:tab w:val="center" w:pos="4419" w:leader="none"/>
        <w:tab w:val="right" w:pos="8838" w:leader="none"/>
      </w:tabs>
      <w:spacing w:lineRule="auto" w:line="240" w:before="0" w:after="0"/>
    </w:pPr>
    <w:rPr/>
  </w:style>
  <w:style w:type="paragraph" w:styleId="Bibliography">
    <w:name w:val="Bibliography"/>
    <w:basedOn w:val="Normal1"/>
    <w:next w:val="Normal1"/>
    <w:uiPriority w:val="37"/>
    <w:unhideWhenUsed/>
    <w:qFormat/>
    <w:rsid w:val="00772f14"/>
    <w:pPr>
      <w:spacing w:lineRule="auto" w:line="240" w:before="60" w:after="60"/>
      <w:jc w:val="both"/>
    </w:pPr>
    <w:rPr/>
  </w:style>
  <w:style w:type="paragraph" w:styleId="BalloonText">
    <w:name w:val="Balloon Text"/>
    <w:basedOn w:val="Normal1"/>
    <w:link w:val="TextodebaloChar"/>
    <w:uiPriority w:val="99"/>
    <w:semiHidden/>
    <w:unhideWhenUsed/>
    <w:qFormat/>
    <w:rsid w:val="00fd5ecc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GFMapa" w:customStyle="1">
    <w:name w:val="GF_Mapa"/>
    <w:basedOn w:val="ListParagraph"/>
    <w:link w:val="GFMapaChar"/>
    <w:qFormat/>
    <w:rsid w:val="00f16b10"/>
    <w:pPr>
      <w:spacing w:lineRule="auto" w:line="240" w:before="0" w:after="0"/>
      <w:jc w:val="center"/>
    </w:pPr>
    <w:rPr>
      <w:b/>
      <w:sz w:val="20"/>
    </w:rPr>
  </w:style>
  <w:style w:type="paragraph" w:styleId="Footnotedescription" w:customStyle="1">
    <w:name w:val="footnote description"/>
    <w:next w:val="Normal1"/>
    <w:qFormat/>
    <w:rsid w:val="00a015c2"/>
    <w:pPr>
      <w:widowControl/>
      <w:suppressAutoHyphens w:val="true"/>
      <w:bidi w:val="0"/>
      <w:ind w:right="45" w:hanging="0"/>
      <w:jc w:val="both"/>
    </w:pPr>
    <w:rPr>
      <w:rFonts w:eastAsia="Calibri" w:ascii="Calibri" w:hAnsi="Calibri" w:cs="Calibri"/>
      <w:color w:val="181717"/>
      <w:sz w:val="14"/>
      <w:szCs w:val="22"/>
      <w:lang w:eastAsia="pt-BR" w:val="pt-BR" w:bidi="ar-SA"/>
    </w:rPr>
  </w:style>
  <w:style w:type="paragraph" w:styleId="Quote">
    <w:name w:val="Quote"/>
    <w:basedOn w:val="Normal1"/>
    <w:next w:val="Normal1"/>
    <w:link w:val="CitaoChar"/>
    <w:uiPriority w:val="29"/>
    <w:qFormat/>
    <w:rsid w:val="00a015c2"/>
    <w:pPr>
      <w:spacing w:before="200" w:after="160"/>
      <w:ind w:left="864" w:right="864" w:hanging="0"/>
      <w:jc w:val="right"/>
    </w:pPr>
    <w:rPr>
      <w:rFonts w:ascii="Arial" w:hAnsi="Arial"/>
      <w:i/>
      <w:iCs/>
      <w:color w:val="404040"/>
      <w:sz w:val="20"/>
    </w:rPr>
  </w:style>
  <w:style w:type="paragraph" w:styleId="GFResumo" w:customStyle="1">
    <w:name w:val="GF_Resumo"/>
    <w:basedOn w:val="ListParagraph"/>
    <w:link w:val="GFResumoChar"/>
    <w:qFormat/>
    <w:rsid w:val="0043585c"/>
    <w:pPr>
      <w:spacing w:lineRule="auto" w:line="240"/>
      <w:ind w:left="567" w:right="282" w:hanging="0"/>
    </w:pPr>
    <w:rPr>
      <w:sz w:val="20"/>
    </w:rPr>
  </w:style>
  <w:style w:type="paragraph" w:styleId="Footnotetext">
    <w:name w:val="footnote text"/>
    <w:basedOn w:val="Normal1"/>
    <w:link w:val="TextodenotaderodapChar"/>
    <w:uiPriority w:val="99"/>
    <w:semiHidden/>
    <w:unhideWhenUsed/>
    <w:qFormat/>
    <w:rsid w:val="00dd1b2a"/>
    <w:pPr>
      <w:spacing w:lineRule="auto" w:line="240" w:before="0" w:after="0"/>
    </w:pPr>
    <w:rPr>
      <w:sz w:val="20"/>
      <w:szCs w:val="20"/>
    </w:rPr>
  </w:style>
  <w:style w:type="paragraph" w:styleId="GFTtulo" w:customStyle="1">
    <w:name w:val="GF_Título"/>
    <w:basedOn w:val="Ttulododocumento"/>
    <w:link w:val="GFTtuloChar"/>
    <w:qFormat/>
    <w:rsid w:val="009b61e7"/>
    <w:pPr/>
    <w:rPr/>
  </w:style>
  <w:style w:type="paragraph" w:styleId="GFDepatamentos" w:customStyle="1">
    <w:name w:val="GF_Depatamentos"/>
    <w:basedOn w:val="ListParagraph"/>
    <w:link w:val="GFDepatamentosChar"/>
    <w:qFormat/>
    <w:rsid w:val="009b61e7"/>
    <w:pPr>
      <w:spacing w:lineRule="auto" w:line="240" w:before="0" w:after="0"/>
    </w:pPr>
    <w:rPr>
      <w:sz w:val="20"/>
      <w:szCs w:val="20"/>
    </w:rPr>
  </w:style>
  <w:style w:type="paragraph" w:styleId="GFEixo" w:customStyle="1">
    <w:name w:val="GF_Eixo"/>
    <w:basedOn w:val="ListParagraph"/>
    <w:link w:val="GFEixoChar"/>
    <w:qFormat/>
    <w:rsid w:val="009b61e7"/>
    <w:pPr>
      <w:spacing w:lineRule="auto" w:line="240" w:before="360" w:after="0"/>
      <w:jc w:val="center"/>
    </w:pPr>
    <w:rPr>
      <w:b/>
    </w:rPr>
  </w:style>
  <w:style w:type="paragraph" w:styleId="GFRETI" w:customStyle="1">
    <w:name w:val="GF_RE_TI"/>
    <w:basedOn w:val="NoSpacing"/>
    <w:link w:val="GFRETIChar"/>
    <w:qFormat/>
    <w:rsid w:val="009b61e7"/>
    <w:pPr>
      <w:ind w:left="-284" w:hanging="0"/>
    </w:pPr>
    <w:rPr>
      <w:sz w:val="22"/>
    </w:rPr>
  </w:style>
  <w:style w:type="paragraph" w:styleId="GFPalavra" w:customStyle="1">
    <w:name w:val="GF_Palavra"/>
    <w:basedOn w:val="GFResumo"/>
    <w:link w:val="GFPalavraChar"/>
    <w:qFormat/>
    <w:rsid w:val="0043585c"/>
    <w:pPr>
      <w:spacing w:before="240" w:after="0"/>
    </w:pPr>
    <w:rPr>
      <w:b/>
    </w:rPr>
  </w:style>
  <w:style w:type="paragraph" w:styleId="Default" w:customStyle="1">
    <w:name w:val="Default"/>
    <w:qFormat/>
    <w:rsid w:val="00685f0e"/>
    <w:pPr>
      <w:widowControl/>
      <w:suppressAutoHyphens w:val="true"/>
      <w:bidi w:val="0"/>
      <w:spacing w:lineRule="auto" w:line="240"/>
      <w:jc w:val="left"/>
    </w:pPr>
    <w:rPr>
      <w:rFonts w:ascii="Arial" w:hAnsi="Arial" w:eastAsia="Times New Roman" w:cs="Arial"/>
      <w:color w:val="000000"/>
      <w:sz w:val="24"/>
      <w:szCs w:val="24"/>
      <w:lang w:val="pt-PT" w:eastAsia="pt-PT" w:bidi="ar-SA"/>
    </w:rPr>
  </w:style>
  <w:style w:type="paragraph" w:styleId="Corpodetextorecuado" w:customStyle="1">
    <w:name w:val="Body Text Indent"/>
    <w:basedOn w:val="Normal1"/>
    <w:link w:val="RecuodecorpodetextoChar"/>
    <w:semiHidden/>
    <w:unhideWhenUsed/>
    <w:rsid w:val="00a963c2"/>
    <w:pPr>
      <w:spacing w:lineRule="auto" w:line="240" w:before="0" w:after="0"/>
      <w:ind w:firstLine="720"/>
    </w:pPr>
    <w:rPr>
      <w:rFonts w:ascii="Times" w:hAnsi="Times" w:eastAsia="Times" w:cs="Times New Roman"/>
      <w:szCs w:val="20"/>
    </w:rPr>
  </w:style>
  <w:style w:type="paragraph" w:styleId="Contedodoquadro" w:customStyle="1">
    <w:name w:val="Conteúdo do quadro"/>
    <w:basedOn w:val="Normal1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dd1b2a"/>
    <w:pPr>
      <w:spacing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59"/>
    <w:rsid w:val="00dd1b2a"/>
    <w:pPr>
      <w:spacing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image" Target="media/image7.png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<Relationship Id="rId15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8.jpe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900BF2-3311-4B83-A3CC-BF2889474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LibreOffice/5.2.5.1$Windows_X86_64 LibreOffice_project/0312e1a284a7d50ca85a365c316c7abbf20a4d22</Application>
  <Pages>12</Pages>
  <Words>2649</Words>
  <Characters>15459</Characters>
  <CharactersWithSpaces>18018</CharactersWithSpaces>
  <Paragraphs>137</Paragraphs>
  <Company>PNN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2017-08-12T23:40:00Z</dcterms:created>
  <dc:creator>talita.prates</dc:creator>
  <dc:description/>
  <dc:language>pt-BR</dc:language>
  <cp:lastModifiedBy/>
  <dcterms:modified xsi:type="dcterms:W3CDTF">2017-08-15T16:47:40Z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PNN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